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溧阳</w:t>
      </w:r>
      <w:r>
        <w:rPr>
          <w:rFonts w:ascii="黑体" w:hAnsi="黑体" w:eastAsia="黑体"/>
          <w:b/>
          <w:sz w:val="30"/>
          <w:szCs w:val="30"/>
        </w:rPr>
        <w:t>市</w:t>
      </w:r>
      <w:r>
        <w:rPr>
          <w:rFonts w:hint="eastAsia" w:ascii="黑体" w:hAnsi="黑体" w:eastAsia="黑体"/>
          <w:b/>
          <w:sz w:val="30"/>
          <w:szCs w:val="30"/>
        </w:rPr>
        <w:t>小学期末</w:t>
      </w:r>
      <w:r>
        <w:rPr>
          <w:rFonts w:ascii="黑体" w:hAnsi="黑体" w:eastAsia="黑体"/>
          <w:b/>
          <w:sz w:val="30"/>
          <w:szCs w:val="30"/>
        </w:rPr>
        <w:t>质量</w:t>
      </w:r>
      <w:r>
        <w:rPr>
          <w:rFonts w:hint="eastAsia" w:ascii="黑体" w:hAnsi="黑体" w:eastAsia="黑体"/>
          <w:b/>
          <w:sz w:val="30"/>
          <w:szCs w:val="30"/>
        </w:rPr>
        <w:t>调研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w:t xml:space="preserve">三 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年级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语文 </w:t>
      </w:r>
      <w:r>
        <w:rPr>
          <w:rFonts w:hint="eastAsia" w:ascii="黑体" w:hAnsi="黑体" w:eastAsia="黑体"/>
          <w:b/>
          <w:sz w:val="30"/>
          <w:szCs w:val="30"/>
        </w:rPr>
        <w:t>学科</w:t>
      </w:r>
      <w:r>
        <w:rPr>
          <w:rFonts w:ascii="黑体" w:hAnsi="黑体" w:eastAsia="黑体"/>
          <w:b/>
          <w:sz w:val="30"/>
          <w:szCs w:val="30"/>
        </w:rPr>
        <w:t>质量分析</w:t>
      </w:r>
    </w:p>
    <w:p>
      <w:pPr>
        <w:pStyle w:val="9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</w:t>
      </w:r>
      <w:r>
        <w:rPr>
          <w:rFonts w:ascii="Times New Roman" w:hAnsi="宋体"/>
          <w:i w:val="0"/>
          <w:iCs w:val="0"/>
          <w:sz w:val="24"/>
          <w:szCs w:val="24"/>
          <w:u w:val="none"/>
        </w:rPr>
        <w:t>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宋体"/>
          <w:sz w:val="24"/>
          <w:szCs w:val="24"/>
          <w:u w:val="single"/>
        </w:rPr>
        <w:t>南渡中心小学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宋体"/>
          <w:sz w:val="24"/>
          <w:szCs w:val="24"/>
        </w:rPr>
        <w:t xml:space="preserve">          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hint="eastAsia" w:ascii="Times New Roman" w:hAnsi="宋体"/>
          <w:sz w:val="24"/>
          <w:szCs w:val="24"/>
          <w:u w:val="single"/>
        </w:rPr>
        <w:t>017</w:t>
      </w:r>
    </w:p>
    <w:p>
      <w:pPr>
        <w:spacing w:line="600" w:lineRule="exact"/>
        <w:rPr>
          <w:rFonts w:ascii="Times New Roman" w:hAnsi="宋体"/>
          <w:sz w:val="24"/>
          <w:szCs w:val="24"/>
          <w:u w:val="single"/>
          <w:lang w:val="en-US"/>
        </w:rPr>
      </w:pPr>
      <w:r>
        <w:rPr>
          <w:rFonts w:hint="eastAsia" w:ascii="Times New Roman" w:hAnsi="宋体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三</w:t>
      </w:r>
      <w:r>
        <w:rPr>
          <w:rFonts w:hint="eastAsia" w:ascii="Times New Roman" w:hAnsi="宋体"/>
          <w:sz w:val="24"/>
          <w:szCs w:val="24"/>
          <w:u w:val="single"/>
        </w:rPr>
        <w:t>（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Times New Roman" w:hAnsi="宋体"/>
          <w:sz w:val="24"/>
          <w:szCs w:val="24"/>
          <w:u w:val="single"/>
        </w:rPr>
        <w:t>）~（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Times New Roman" w:hAnsi="宋体"/>
          <w:sz w:val="24"/>
          <w:szCs w:val="24"/>
          <w:u w:val="single"/>
        </w:rPr>
        <w:t>）班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李文婷、易金芳、姚孟希、管超、赵瑜    </w:t>
      </w:r>
    </w:p>
    <w:p>
      <w:pPr>
        <w:spacing w:line="600" w:lineRule="exact"/>
        <w:rPr>
          <w:rFonts w:ascii="Times New Roman" w:hAnsi="宋体"/>
          <w:sz w:val="24"/>
          <w:szCs w:val="24"/>
        </w:rPr>
      </w:pPr>
    </w:p>
    <w:tbl>
      <w:tblPr>
        <w:tblStyle w:val="7"/>
        <w:tblW w:w="7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75"/>
        <w:gridCol w:w="1275"/>
        <w:gridCol w:w="1110"/>
        <w:gridCol w:w="1080"/>
        <w:gridCol w:w="97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班级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应考人数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实考人数</w:t>
            </w:r>
          </w:p>
        </w:tc>
        <w:tc>
          <w:tcPr>
            <w:tcW w:w="1110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080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最高分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121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44.73</w:t>
            </w:r>
          </w:p>
        </w:tc>
        <w:tc>
          <w:tcPr>
            <w:tcW w:w="1080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李文婷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46.46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25.5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易金芳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45.7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55.5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姚孟希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44.3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56.5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管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43.54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赵 瑜</w:t>
            </w:r>
          </w:p>
        </w:tc>
      </w:tr>
    </w:tbl>
    <w:p>
      <w:pPr>
        <w:spacing w:line="600" w:lineRule="exact"/>
        <w:rPr>
          <w:rFonts w:ascii="Times New Roman" w:hAnsi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6"/>
        <w:tblW w:w="9278" w:type="dxa"/>
        <w:jc w:val="center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09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414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284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438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434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440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420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426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198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85.9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58.9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90.9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91.3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87.6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15.8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94.6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88.4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41.1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92.5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习作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444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426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446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420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346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280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272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44.8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92.1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88.4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92.5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87.1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71.8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63.9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58.1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56.4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74.6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</w:tbl>
    <w:p>
      <w:pPr>
        <w:pStyle w:val="9"/>
        <w:ind w:left="0" w:leftChars="0" w:firstLine="0" w:firstLineChars="0"/>
        <w:rPr>
          <w:rFonts w:ascii="Times New Roman" w:hAnsi="Times New Roman"/>
          <w:sz w:val="30"/>
          <w:szCs w:val="30"/>
        </w:rPr>
      </w:pPr>
    </w:p>
    <w:p>
      <w:pPr>
        <w:pStyle w:val="9"/>
        <w:ind w:left="0" w:leftChars="0" w:firstLine="0" w:firstLineChars="0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例举学生的典型错误，并分析错误原因：</w:t>
            </w: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第一部分：积累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找出错误的读音。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1.15个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eastAsia="zh-CN"/>
              </w:rPr>
              <w:t>学生读不准“纤（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xiān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eastAsia="zh-CN"/>
              </w:rPr>
              <w:t>）细”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；8生将“木杆”读错；5生将“累”多音字没有读准；6个学生出现留空或者多处填涂导致失分。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2.42个学生选择“逆（nì）风”；18个学生将“馋猫”读成平舌音导致错误；31个学生将“官吏(lì)”与“历史”混淆导致选错；8个学生出现留空或者多处填涂导致失分。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3.2个学生没有读准“挨”、“撒”多音字导致失分，18个学生因不认识“气喘吁吁”这个字而选错；10个学生出现留空涂或者多处填涂导致失分。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b/>
                <w:bCs/>
                <w:spacing w:val="8"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b/>
                <w:bCs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8"/>
                <w:sz w:val="24"/>
                <w:szCs w:val="24"/>
                <w:lang w:eastAsia="zh-CN"/>
              </w:rPr>
              <w:t>二、找出错别字。</w:t>
            </w: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4.11个学生没有区分“洲”和“州”导致错误；个别学生选择其它选项导致错误；7个学生出现留空或者多处填涂导致失分。</w:t>
            </w: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5.10个学生混淆“辨”与“辩”导致错误；2个学生将“智慧”“秘密”与音近字、形近字混淆导致失分；8个学生出现留空或者多处填涂导致失分。</w:t>
            </w: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6.16个学生没有发现“杞人优天”的“优”错误，与“忧”混淆导致选成其他选项而扣分；14个学生出现留空或者多处填涂导致失分。</w:t>
            </w: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三、理解加点字或词语的意思。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7.大部分学生没能准确理解“懦弱”的意思，而是根据课文中陶罐的易碎的特点，选择了“脆弱”、“薄弱”、“懦夫”，忽视了“懦弱”用来形容怯懦的性格导致失分；8个学生出现留空或者多处填涂导致失分。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8.5个学生没有根据“采”在具体语境“没精打采”中的意思来选择；8个学生出现留空或者多处填涂导致失分。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9.20个学生没根据小古文句子的意思来判断加点字的意思导致错误；8个学生出现留空或者多处填涂导致失分。</w:t>
            </w: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四、选择恰当的词语填入句子当中。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10.大部分学生没有联系语境来选择恰当的词语，没有正确区分几个词语的不同之处，将几个近义词混淆，其中54个学生选择“荡漾”33个学生选择了“飘扬”，50个学生选择“飘散”；5个学生出现留空或者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11.11个学生没有分析出“精巧”、“精密”、“精良”与“精美”之间的区别，导致搭配错误扣分；7个学生出现留空或者多处填涂导致失分。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12.大部分学生没有读懂题目语境——两种生活无法进行比较，导致68个学生选择“混为一谈”，38个学生选择“一视同仁”，20个学生选择“一概而论”这些相近却又有细微差别的成语；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7个学生出现留空或者多处填涂导致失分。</w:t>
            </w: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五、经典语言积累。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13.10个学生故事背诵不够熟练、掌握不到位，以为古诗中有错别字导致选错选项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9个学生出现留空或者多处填涂导致失分。</w:t>
            </w: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14.8个学生审题不清导致错误，13个学生对古诗背景不够熟悉，导致选择错误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7个学生出现留空或者多处填涂导致失分。</w:t>
            </w: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15.12个学生没有抓住具体语境中的关键词“传统节日”，来选择古诗导致错误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6个学生出现留空或者多处填涂导致失分。</w:t>
            </w: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第二部分：阅读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16.26个学生没有学会用联系上下文的方法来理解词语的意思，只想着“蓝色窗帘”的心情导致出现错误；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5个学生出现留空或者多处填涂导致失分。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17.60个学生没有联系上文来判断“小主人”指代的人物，而是从其他地方来找导致选择错误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8个学生出现留空或者多处填涂导致失分。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18.26个学生是联系上文找到“蓝色窗帘做的事情”导致错误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；53个学生从文本中“最初的愿望”找到上文的“陪着小主人去了很多地方”导致错误，这些同学都没有读懂题意，理解“最初”即从文章的第一段来寻找答案；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8个学生出现留空或者多处填涂导致失分。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19.94个学生读取片段故事进行概括，没有理解本文的主要内涵导致失分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7个学生出现留空或者多处填涂导致失分。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20.101个学生都是根据蓝色窗帘的一两个故事当中提炼本文的含义，而忽视了这几个故事的共性：帮助别人，没有读懂文章，理解整篇文章蕴含的深刻道理导致错误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4个学生出现留空或者多处填涂导致失分。</w:t>
            </w: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第三部分：习作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作文是以“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小熊贝贝来到森林学校发生的事情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”为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题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进行想象续写童话故事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大部分学生选择了“小熊贝贝上学记”这一主题进行书写，语言文字运用能力较好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的同学也能写出不错的文章，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扣分较少。</w:t>
            </w: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2.大部分扣分主要在于“事情”写得不够生动具体，没有通过语言、动作、神态、心理等事情的场景描写出画面感，情节不够有趣。</w:t>
            </w:r>
          </w:p>
          <w:p>
            <w:pPr>
              <w:spacing w:line="380" w:lineRule="exact"/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个别学生审题不清、存在偏题情况，写了“贝贝上学路上”、“贝贝不愿意上学”等，个别学生不会写或篇幅较短或者没有写完也失分较多。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6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取得成绩及存在问题，并分析原因：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这次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抽考的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测试卷题量适中，试卷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难度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适宜，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学生发挥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正常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大多数学生在基础知识方面掌握得比较牢固，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找错的拼音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找错别字、语言积累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这一类题目完成得不错，但是对于所学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的知识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不能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理解、灵活运用在其他语境中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，究根结底还是没有完全理解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内容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。阅读分析完成得不好，学生的阅读理解能力还有待加强，特别是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理解词语意思、联系上下文找答案和启发感悟题目，做得不够理想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对策：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1.进一步强化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“双基”（即基础知识、基本技能），提高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语言文字运用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首先，注重字的教学，包括字音、字形、字义，特别注重字义的理解，加强形近字和音近字的区分练习。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其次，注重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生字词的理解，抓住课堂中的阅读教学的契机，教会学生理解词语意思的方法，理解重点词句，特别是相近词语之间的辨析，能够结合具体语境进行熟练运用，举一反三、融会贯通。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最后，注重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语言积累，包括成语积累、古诗词、俗语谚语以及课文背诵，不仅会读会写，对所学内容要做到理解，更要重视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背景知识的拓展、主题意义的教学以及在具体语境中的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灵活运用。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进一步优化阅读课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，落实语文要素，提高语文关键能力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首先，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精讲细练，重感悟、重积累，力争优秀篇目达到熟读成诵，不仅是应对考试，更重要的是积累语言、丰富语言，加强学生的语文积淀，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以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达到读写结合、以读促写的目的。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其次，在课堂教学中，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教师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在大单元背景的视角下进行教学，教学中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渗透学习方法的指导，让学生在主动探究中进行实践，获取的不仅仅是问题的答案，而是吸取知识的方法。充分发挥“授之以渔”的重要作用，多教怎么学，少教怎么做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，落实语文要素。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最后，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拓展课外阅读，以课外阅读促进阅读理解能力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的提高，特别是长文阅读、快速阅读的方法，提高学生查找信息、提取信息、概括信息的语文关键能力，丰富人文素养，能纵观全文明白故事蕴含的道理、启示。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 w:firstLine="482" w:firstLineChars="2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3.进一步改进写作指导课，搭建学习支架，拓宽写作思维。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提升加强习作指导，由扶到放，带着学生进行写作，结合生活多练习，平时结合阅读和练习中教给学生表达的顺序，表达句子要完整，书写要规范，注意段与段、句与句之间要连贯。重点指导孩子如何把握文章重点，把重点部分写具体，写完整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，写出画面感，使文章具体、生动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。同时，也要训练学生选材和立意的方法。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2" w:firstLineChars="2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4.进一步培养学习习惯，端正学习态度，提高答题质量。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对学生学习习惯的培养要常抓不懈，习惯决定一切！培养学生做完作业要细心检查的好习惯，本次考试中还有很多同学因为粗心大意，看错了题目、漏做题目而出现了大面积的丢分，以后要注意培养孩子细心答题的好习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2" w:firstLineChars="2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5.进一步提优补差、查漏补缺，因材施教，促进每个学生的发展。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加强对学困生的学习辅导。班级中的学困生应到多联系家长，沟通交流，争取家长的大力支持。家校合作，共同努力，共同督促，找准他们的弱点，找到适合的方法与内容，从最基础的知识抓起，点滴进步促进成绩提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在今后教学工作中，老师要狠抓学生的习惯，端正学生的学习态度。针对问题进行有目的、有计划地教学和辅导，在良好的学习氛围中帮助学生夯实基础，学好语文。对于班级中的学困生还是要不抛弃、不放弃。可以发挥小助手的作用，给每一位学困生配一位小老师，这样既减轻了老师的负担，又发挥了学生的主动性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抽测</w:t>
            </w:r>
            <w:r>
              <w:rPr>
                <w:rFonts w:hint="eastAsia" w:ascii="Times New Roman" w:hAnsi="Times New Roman"/>
                <w:sz w:val="24"/>
                <w:szCs w:val="24"/>
              </w:rPr>
              <w:t>试卷从总体来看试卷抓住了本年级本册书的重点、难点、关键点，整个试卷注重了基础知识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和基本技能</w:t>
            </w:r>
            <w:r>
              <w:rPr>
                <w:rFonts w:hint="eastAsia" w:ascii="Times New Roman" w:hAnsi="Times New Roman"/>
                <w:sz w:val="24"/>
                <w:szCs w:val="24"/>
              </w:rPr>
              <w:t>的训练，在学生思维训练方面也有许多精巧的设计。</w:t>
            </w:r>
            <w:r>
              <w:rPr>
                <w:rFonts w:hint="eastAsia" w:ascii="宋体" w:hAnsi="宋体" w:cs="宋体"/>
                <w:sz w:val="24"/>
                <w:szCs w:val="24"/>
              </w:rPr>
              <w:t>总的来说，试卷难易适中，既有基础知识的掌握，又有基本技能的训练，既有一定的深度，又有一定的广度，没有偏题、</w:t>
            </w:r>
            <w:r>
              <w:rPr>
                <w:rFonts w:hint="eastAsia" w:ascii="Times New Roman" w:hAnsi="Times New Roman"/>
                <w:sz w:val="24"/>
                <w:szCs w:val="24"/>
              </w:rPr>
              <w:t>怪题，也没有过难的题目，与课程标准的要求相一致，没有出现超纲现象，能真实地反映出学生的知识掌握水平。</w:t>
            </w: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5A40A1"/>
    <w:multiLevelType w:val="singleLevel"/>
    <w:tmpl w:val="FE5A40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493F42"/>
    <w:multiLevelType w:val="singleLevel"/>
    <w:tmpl w:val="7C493F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65B41"/>
    <w:rsid w:val="00036C2D"/>
    <w:rsid w:val="0005338E"/>
    <w:rsid w:val="000A04BB"/>
    <w:rsid w:val="00252A90"/>
    <w:rsid w:val="002D0268"/>
    <w:rsid w:val="00346F26"/>
    <w:rsid w:val="003620B9"/>
    <w:rsid w:val="003967EF"/>
    <w:rsid w:val="003E3D1A"/>
    <w:rsid w:val="00427281"/>
    <w:rsid w:val="004475E3"/>
    <w:rsid w:val="00451C2D"/>
    <w:rsid w:val="00484D8D"/>
    <w:rsid w:val="004D2498"/>
    <w:rsid w:val="005146C4"/>
    <w:rsid w:val="00565930"/>
    <w:rsid w:val="005B5EC0"/>
    <w:rsid w:val="00611375"/>
    <w:rsid w:val="00666A17"/>
    <w:rsid w:val="0068619D"/>
    <w:rsid w:val="006A7544"/>
    <w:rsid w:val="007974FB"/>
    <w:rsid w:val="007B40BE"/>
    <w:rsid w:val="007C707E"/>
    <w:rsid w:val="008905EB"/>
    <w:rsid w:val="0093324B"/>
    <w:rsid w:val="00977894"/>
    <w:rsid w:val="009C381F"/>
    <w:rsid w:val="00A4624A"/>
    <w:rsid w:val="00A93775"/>
    <w:rsid w:val="00AC7A7B"/>
    <w:rsid w:val="00B03288"/>
    <w:rsid w:val="00BD7B9E"/>
    <w:rsid w:val="00CB1F2F"/>
    <w:rsid w:val="00CC16FB"/>
    <w:rsid w:val="00E144D8"/>
    <w:rsid w:val="00E65B41"/>
    <w:rsid w:val="00E7767D"/>
    <w:rsid w:val="00ED3350"/>
    <w:rsid w:val="00ED56ED"/>
    <w:rsid w:val="00F14E01"/>
    <w:rsid w:val="00F74E39"/>
    <w:rsid w:val="00FA655E"/>
    <w:rsid w:val="00FC573A"/>
    <w:rsid w:val="00FF02ED"/>
    <w:rsid w:val="01154361"/>
    <w:rsid w:val="040C4658"/>
    <w:rsid w:val="0B3345F9"/>
    <w:rsid w:val="12AB71BC"/>
    <w:rsid w:val="175F2D5A"/>
    <w:rsid w:val="17AC6860"/>
    <w:rsid w:val="188C7CEF"/>
    <w:rsid w:val="1C874334"/>
    <w:rsid w:val="1D534282"/>
    <w:rsid w:val="27B96D33"/>
    <w:rsid w:val="290F5C00"/>
    <w:rsid w:val="322136EF"/>
    <w:rsid w:val="34C41F79"/>
    <w:rsid w:val="4F350943"/>
    <w:rsid w:val="529A72C1"/>
    <w:rsid w:val="593D4C0B"/>
    <w:rsid w:val="59EE3F49"/>
    <w:rsid w:val="5C1C0C58"/>
    <w:rsid w:val="5C2E497C"/>
    <w:rsid w:val="5C73449C"/>
    <w:rsid w:val="6547307C"/>
    <w:rsid w:val="69C163E7"/>
    <w:rsid w:val="77EF3834"/>
    <w:rsid w:val="7B445CFA"/>
    <w:rsid w:val="7EE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9">
    <w:name w:val="列出段落1"/>
    <w:basedOn w:val="1"/>
    <w:uiPriority w:val="0"/>
    <w:pPr>
      <w:ind w:firstLine="420" w:firstLineChars="200"/>
    </w:pPr>
  </w:style>
  <w:style w:type="character" w:customStyle="1" w:styleId="10">
    <w:name w:val="apple-converted-space"/>
    <w:basedOn w:val="5"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342</Words>
  <Characters>1953</Characters>
  <Lines>16</Lines>
  <Paragraphs>4</Paragraphs>
  <TotalTime>11</TotalTime>
  <ScaleCrop>false</ScaleCrop>
  <LinksUpToDate>false</LinksUpToDate>
  <CharactersWithSpaces>2291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2020-01-15T14:14:00Z</dcterms:created>
  <dc:creator>Administrator</dc:creator>
  <cp:lastModifiedBy>Cici</cp:lastModifiedBy>
  <dcterms:modified xsi:type="dcterms:W3CDTF">2022-05-18T10:19:58Z</dcterms:modified>
  <dc:title>NTKO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F5EEF138E8884ED9AB998D64BCEC1F4B</vt:lpwstr>
  </property>
  <property fmtid="{D5CDD505-2E9C-101B-9397-08002B2CF9AE}" pid="4" name="KSORubyTemplateID" linkTarget="0">
    <vt:lpwstr>6</vt:lpwstr>
  </property>
</Properties>
</file>