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center"/>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20</w:t>
      </w:r>
      <w:r>
        <w:rPr>
          <w:rFonts w:hint="eastAsia" w:ascii="黑体" w:hAnsi="黑体" w:eastAsia="黑体" w:cs="黑体"/>
          <w:b/>
          <w:i w:val="0"/>
          <w:caps w:val="0"/>
          <w:color w:val="auto"/>
          <w:spacing w:val="0"/>
          <w:sz w:val="32"/>
          <w:szCs w:val="32"/>
          <w:shd w:val="clear" w:fill="FFFFFF"/>
          <w:lang w:val="en-US" w:eastAsia="zh-CN"/>
        </w:rPr>
        <w:t>21</w:t>
      </w:r>
      <w:r>
        <w:rPr>
          <w:rFonts w:hint="eastAsia" w:ascii="黑体" w:hAnsi="黑体" w:eastAsia="黑体" w:cs="黑体"/>
          <w:b/>
          <w:i w:val="0"/>
          <w:caps w:val="0"/>
          <w:color w:val="auto"/>
          <w:spacing w:val="0"/>
          <w:sz w:val="32"/>
          <w:szCs w:val="32"/>
          <w:shd w:val="clear" w:fill="FFFFFF"/>
        </w:rPr>
        <w:t>年溧阳市</w:t>
      </w:r>
      <w:r>
        <w:rPr>
          <w:rFonts w:hint="eastAsia" w:ascii="黑体" w:hAnsi="黑体" w:eastAsia="黑体" w:cs="黑体"/>
          <w:b/>
          <w:i w:val="0"/>
          <w:caps w:val="0"/>
          <w:color w:val="auto"/>
          <w:spacing w:val="0"/>
          <w:sz w:val="32"/>
          <w:szCs w:val="32"/>
          <w:shd w:val="clear" w:fill="FFFFFF"/>
          <w:lang w:eastAsia="zh-CN"/>
        </w:rPr>
        <w:t>实验</w:t>
      </w:r>
      <w:r>
        <w:rPr>
          <w:rFonts w:hint="eastAsia" w:ascii="黑体" w:hAnsi="黑体" w:eastAsia="黑体" w:cs="黑体"/>
          <w:b/>
          <w:i w:val="0"/>
          <w:caps w:val="0"/>
          <w:color w:val="auto"/>
          <w:spacing w:val="0"/>
          <w:sz w:val="32"/>
          <w:szCs w:val="32"/>
          <w:shd w:val="clear" w:fill="FFFFFF"/>
        </w:rPr>
        <w:t>小学</w:t>
      </w:r>
      <w:r>
        <w:rPr>
          <w:rFonts w:hint="eastAsia" w:ascii="黑体" w:hAnsi="黑体" w:eastAsia="黑体" w:cs="黑体"/>
          <w:b/>
          <w:i w:val="0"/>
          <w:caps w:val="0"/>
          <w:color w:val="auto"/>
          <w:spacing w:val="0"/>
          <w:sz w:val="32"/>
          <w:szCs w:val="32"/>
          <w:shd w:val="clear" w:fill="FFFFFF"/>
          <w:lang w:eastAsia="zh-CN"/>
        </w:rPr>
        <w:t>二年级</w:t>
      </w:r>
      <w:r>
        <w:rPr>
          <w:rFonts w:hint="eastAsia" w:ascii="黑体" w:hAnsi="黑体" w:eastAsia="黑体" w:cs="黑体"/>
          <w:b/>
          <w:i w:val="0"/>
          <w:caps w:val="0"/>
          <w:color w:val="auto"/>
          <w:spacing w:val="0"/>
          <w:sz w:val="32"/>
          <w:szCs w:val="32"/>
          <w:shd w:val="clear" w:fill="FFFFFF"/>
        </w:rPr>
        <w:t>数学</w:t>
      </w:r>
      <w:r>
        <w:rPr>
          <w:rFonts w:hint="eastAsia" w:ascii="黑体" w:hAnsi="黑体" w:eastAsia="黑体" w:cs="黑体"/>
          <w:b/>
          <w:i w:val="0"/>
          <w:caps w:val="0"/>
          <w:color w:val="auto"/>
          <w:spacing w:val="0"/>
          <w:sz w:val="32"/>
          <w:szCs w:val="32"/>
          <w:shd w:val="clear" w:fill="FFFFFF"/>
          <w:lang w:eastAsia="zh-CN"/>
        </w:rPr>
        <w:t>期末</w:t>
      </w:r>
      <w:r>
        <w:rPr>
          <w:rFonts w:hint="eastAsia" w:ascii="黑体" w:hAnsi="黑体" w:eastAsia="黑体" w:cs="黑体"/>
          <w:b/>
          <w:i w:val="0"/>
          <w:caps w:val="0"/>
          <w:color w:val="auto"/>
          <w:spacing w:val="0"/>
          <w:sz w:val="32"/>
          <w:szCs w:val="32"/>
          <w:shd w:val="clear" w:fill="FFFFFF"/>
        </w:rPr>
        <w:t>质量</w:t>
      </w:r>
      <w:r>
        <w:rPr>
          <w:rFonts w:hint="eastAsia" w:ascii="黑体" w:hAnsi="黑体" w:eastAsia="黑体" w:cs="黑体"/>
          <w:b/>
          <w:i w:val="0"/>
          <w:caps w:val="0"/>
          <w:color w:val="auto"/>
          <w:spacing w:val="0"/>
          <w:sz w:val="32"/>
          <w:szCs w:val="32"/>
          <w:shd w:val="clear" w:fill="FFFFFF"/>
          <w:lang w:eastAsia="zh-CN"/>
        </w:rPr>
        <w:t>调研</w:t>
      </w:r>
      <w:r>
        <w:rPr>
          <w:rFonts w:hint="eastAsia" w:ascii="黑体" w:hAnsi="黑体" w:eastAsia="黑体" w:cs="黑体"/>
          <w:b/>
          <w:i w:val="0"/>
          <w:caps w:val="0"/>
          <w:color w:val="auto"/>
          <w:spacing w:val="0"/>
          <w:sz w:val="32"/>
          <w:szCs w:val="32"/>
          <w:shd w:val="clear" w:fill="FFFFFF"/>
        </w:rPr>
        <w:t>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我们二年级组数学老师通过学习讨论分析总结，对这次期末</w:t>
      </w:r>
      <w:r>
        <w:rPr>
          <w:rFonts w:hint="eastAsia" w:ascii="宋体" w:hAnsi="宋体" w:eastAsia="宋体" w:cs="宋体"/>
          <w:i w:val="0"/>
          <w:caps w:val="0"/>
          <w:color w:val="auto"/>
          <w:spacing w:val="0"/>
          <w:sz w:val="24"/>
          <w:szCs w:val="24"/>
          <w:shd w:val="clear" w:fill="FFFFFF"/>
        </w:rPr>
        <w:t>质量</w:t>
      </w:r>
      <w:r>
        <w:rPr>
          <w:rFonts w:hint="eastAsia" w:ascii="宋体" w:hAnsi="宋体" w:eastAsia="宋体" w:cs="宋体"/>
          <w:i w:val="0"/>
          <w:caps w:val="0"/>
          <w:color w:val="auto"/>
          <w:spacing w:val="0"/>
          <w:sz w:val="24"/>
          <w:szCs w:val="24"/>
          <w:shd w:val="clear" w:fill="FFFFFF"/>
          <w:lang w:eastAsia="zh-CN"/>
        </w:rPr>
        <w:t>调研试卷有自己的一些认识。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黑体" w:hAnsi="宋体" w:eastAsia="黑体" w:cs="黑体"/>
          <w:i w:val="0"/>
          <w:caps w:val="0"/>
          <w:color w:val="auto"/>
          <w:spacing w:val="0"/>
          <w:sz w:val="24"/>
          <w:szCs w:val="24"/>
          <w:shd w:val="clear" w:fill="FFFFFF"/>
          <w:lang w:eastAsia="zh-CN"/>
        </w:rPr>
      </w:pPr>
      <w:r>
        <w:rPr>
          <w:rFonts w:hint="eastAsia" w:ascii="黑体" w:hAnsi="宋体" w:eastAsia="黑体" w:cs="黑体"/>
          <w:i w:val="0"/>
          <w:caps w:val="0"/>
          <w:color w:val="auto"/>
          <w:spacing w:val="0"/>
          <w:sz w:val="24"/>
          <w:szCs w:val="24"/>
          <w:shd w:val="clear" w:fill="FFFFFF"/>
          <w:lang w:eastAsia="zh-CN"/>
        </w:rPr>
        <w:t>教材与试卷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firstLine="480" w:firstLineChars="200"/>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二</w:t>
      </w:r>
      <w:r>
        <w:rPr>
          <w:rFonts w:hint="eastAsia" w:ascii="宋体" w:hAnsi="宋体" w:eastAsia="宋体" w:cs="宋体"/>
          <w:i w:val="0"/>
          <w:caps w:val="0"/>
          <w:color w:val="auto"/>
          <w:spacing w:val="0"/>
          <w:sz w:val="24"/>
          <w:szCs w:val="24"/>
          <w:shd w:val="clear" w:fill="FFFFFF"/>
        </w:rPr>
        <w:t>年级</w:t>
      </w:r>
      <w:r>
        <w:rPr>
          <w:rFonts w:hint="eastAsia" w:ascii="宋体" w:hAnsi="宋体" w:eastAsia="宋体" w:cs="宋体"/>
          <w:i w:val="0"/>
          <w:caps w:val="0"/>
          <w:color w:val="auto"/>
          <w:spacing w:val="0"/>
          <w:sz w:val="24"/>
          <w:szCs w:val="24"/>
          <w:shd w:val="clear" w:fill="FFFFFF"/>
          <w:lang w:eastAsia="zh-CN"/>
        </w:rPr>
        <w:t>下册的教学内容涉及数与代数、图形与几何、概率与统计和综合与实践四大领域。数与代数部分要求学生掌握一些简单的计算，培养学生的运算能力和初步数感；图形与几何部分初步感知数学与生活的联系；综合与实践部分感受数学活动过程的探索性和数学结论的确定性。</w:t>
      </w:r>
    </w:p>
    <w:p>
      <w:pPr>
        <w:spacing w:line="360" w:lineRule="auto"/>
        <w:ind w:firstLine="420"/>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eastAsia="zh-CN"/>
        </w:rPr>
        <w:t>这次的质量调研</w:t>
      </w:r>
      <w:r>
        <w:rPr>
          <w:rFonts w:hint="eastAsia" w:ascii="宋体" w:hAnsi="宋体" w:eastAsia="宋体" w:cs="宋体"/>
          <w:i w:val="0"/>
          <w:caps w:val="0"/>
          <w:color w:val="auto"/>
          <w:spacing w:val="0"/>
          <w:sz w:val="24"/>
          <w:szCs w:val="24"/>
          <w:shd w:val="clear" w:fill="FFFFFF"/>
        </w:rPr>
        <w:t>试卷</w:t>
      </w:r>
      <w:r>
        <w:rPr>
          <w:rFonts w:hint="eastAsia" w:ascii="宋体" w:hAnsi="宋体" w:eastAsia="宋体" w:cs="宋体"/>
          <w:i w:val="0"/>
          <w:caps w:val="0"/>
          <w:color w:val="auto"/>
          <w:spacing w:val="0"/>
          <w:sz w:val="24"/>
          <w:szCs w:val="24"/>
          <w:shd w:val="clear" w:fill="FFFFFF"/>
          <w:lang w:eastAsia="zh-CN"/>
        </w:rPr>
        <w:t>有基础性的考查内容，如看图写数，数的组成</w:t>
      </w:r>
      <w:r>
        <w:rPr>
          <w:rFonts w:hint="eastAsia" w:ascii="宋体" w:hAnsi="宋体" w:eastAsia="宋体" w:cs="宋体"/>
          <w:i w:val="0"/>
          <w:caps w:val="0"/>
          <w:color w:val="auto"/>
          <w:spacing w:val="0"/>
          <w:sz w:val="24"/>
          <w:szCs w:val="24"/>
          <w:shd w:val="clear" w:fill="FFFFFF"/>
          <w:lang w:val="en-US" w:eastAsia="zh-CN"/>
        </w:rPr>
        <w:t>等等；也有考查学生的思维发展的部分，也有操作实践部分，</w:t>
      </w:r>
      <w:r>
        <w:rPr>
          <w:rFonts w:hint="eastAsia"/>
          <w:sz w:val="24"/>
        </w:rPr>
        <w:t>在考察学生“长度单位”的内容多是以不同形式出现的，显示了学习方法和学习思维的灵活性，有一定的深度和难度。</w:t>
      </w:r>
      <w:r>
        <w:rPr>
          <w:rFonts w:hint="eastAsia" w:ascii="宋体" w:hAnsi="宋体" w:eastAsia="宋体" w:cs="宋体"/>
          <w:i w:val="0"/>
          <w:caps w:val="0"/>
          <w:color w:val="auto"/>
          <w:spacing w:val="0"/>
          <w:sz w:val="24"/>
          <w:szCs w:val="24"/>
          <w:shd w:val="clear" w:fill="FFFFFF"/>
          <w:lang w:val="en-US" w:eastAsia="zh-CN"/>
        </w:rPr>
        <w:t>整张试卷关注学生的全面发展。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24"/>
          <w:szCs w:val="24"/>
          <w:shd w:val="clear" w:fill="FFFFFF"/>
        </w:rPr>
        <w:t>二、</w:t>
      </w:r>
      <w:r>
        <w:rPr>
          <w:rFonts w:hint="eastAsia" w:ascii="黑体" w:hAnsi="宋体" w:eastAsia="黑体" w:cs="黑体"/>
          <w:i w:val="0"/>
          <w:caps w:val="0"/>
          <w:color w:val="auto"/>
          <w:spacing w:val="0"/>
          <w:sz w:val="24"/>
          <w:szCs w:val="24"/>
          <w:shd w:val="clear" w:fill="FFFFFF"/>
          <w:lang w:eastAsia="zh-CN"/>
        </w:rPr>
        <w:t>统计与</w:t>
      </w:r>
      <w:r>
        <w:rPr>
          <w:rFonts w:hint="eastAsia" w:ascii="黑体" w:hAnsi="宋体" w:eastAsia="黑体" w:cs="黑体"/>
          <w:i w:val="0"/>
          <w:caps w:val="0"/>
          <w:color w:val="auto"/>
          <w:spacing w:val="0"/>
          <w:sz w:val="24"/>
          <w:szCs w:val="24"/>
          <w:shd w:val="clear" w:fill="FFFFFF"/>
        </w:rPr>
        <w:t>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一</w:t>
      </w: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全</w:t>
      </w:r>
      <w:r>
        <w:rPr>
          <w:rFonts w:hint="eastAsia" w:ascii="宋体" w:hAnsi="宋体" w:eastAsia="宋体" w:cs="宋体"/>
          <w:b/>
          <w:i w:val="0"/>
          <w:caps w:val="0"/>
          <w:color w:val="auto"/>
          <w:spacing w:val="0"/>
          <w:sz w:val="24"/>
          <w:szCs w:val="24"/>
          <w:shd w:val="clear" w:fill="FFFFFF"/>
          <w:lang w:eastAsia="zh-CN"/>
        </w:rPr>
        <w:t>校</w:t>
      </w:r>
      <w:r>
        <w:rPr>
          <w:rFonts w:hint="eastAsia" w:ascii="宋体" w:hAnsi="宋体" w:eastAsia="宋体" w:cs="宋体"/>
          <w:b/>
          <w:i w:val="0"/>
          <w:caps w:val="0"/>
          <w:color w:val="auto"/>
          <w:spacing w:val="0"/>
          <w:sz w:val="24"/>
          <w:szCs w:val="24"/>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全</w:t>
      </w:r>
      <w:r>
        <w:rPr>
          <w:rFonts w:hint="eastAsia" w:ascii="宋体" w:hAnsi="宋体" w:eastAsia="宋体" w:cs="宋体"/>
          <w:i w:val="0"/>
          <w:caps w:val="0"/>
          <w:color w:val="auto"/>
          <w:spacing w:val="0"/>
          <w:sz w:val="24"/>
          <w:szCs w:val="24"/>
          <w:shd w:val="clear" w:fill="FFFFFF"/>
          <w:lang w:eastAsia="zh-CN"/>
        </w:rPr>
        <w:t>校</w:t>
      </w:r>
      <w:r>
        <w:rPr>
          <w:rFonts w:hint="eastAsia" w:ascii="宋体" w:hAnsi="宋体" w:eastAsia="宋体" w:cs="宋体"/>
          <w:i w:val="0"/>
          <w:caps w:val="0"/>
          <w:color w:val="auto"/>
          <w:spacing w:val="0"/>
          <w:sz w:val="24"/>
          <w:szCs w:val="24"/>
          <w:shd w:val="clear" w:fill="FFFFFF"/>
        </w:rPr>
        <w:t>及格率：</w:t>
      </w:r>
      <w:r>
        <w:rPr>
          <w:rFonts w:hint="eastAsia" w:ascii="宋体" w:hAnsi="宋体" w:eastAsia="宋体" w:cs="宋体"/>
          <w:i w:val="0"/>
          <w:caps w:val="0"/>
          <w:color w:val="auto"/>
          <w:spacing w:val="0"/>
          <w:sz w:val="24"/>
          <w:szCs w:val="24"/>
          <w:shd w:val="clear" w:fill="FFFFFF"/>
          <w:lang w:val="en-US" w:eastAsia="zh-CN"/>
        </w:rPr>
        <w:t>98.6％</w:t>
      </w:r>
      <w:r>
        <w:rPr>
          <w:rFonts w:hint="eastAsia" w:ascii="宋体" w:hAnsi="宋体" w:eastAsia="宋体" w:cs="宋体"/>
          <w:i w:val="0"/>
          <w:caps w:val="0"/>
          <w:color w:val="auto"/>
          <w:spacing w:val="0"/>
          <w:sz w:val="24"/>
          <w:szCs w:val="24"/>
          <w:shd w:val="clear" w:fill="FFFFFF"/>
        </w:rPr>
        <w:t>；优秀率：</w:t>
      </w:r>
      <w:r>
        <w:rPr>
          <w:rFonts w:hint="eastAsia" w:ascii="宋体" w:hAnsi="宋体" w:eastAsia="宋体" w:cs="宋体"/>
          <w:i w:val="0"/>
          <w:caps w:val="0"/>
          <w:color w:val="auto"/>
          <w:spacing w:val="0"/>
          <w:sz w:val="24"/>
          <w:szCs w:val="24"/>
          <w:shd w:val="clear" w:fill="FFFFFF"/>
          <w:lang w:val="en-US" w:eastAsia="zh-CN"/>
        </w:rPr>
        <w:t>83.1％</w:t>
      </w:r>
      <w:r>
        <w:rPr>
          <w:rFonts w:hint="eastAsia" w:ascii="宋体" w:hAnsi="宋体" w:eastAsia="宋体" w:cs="宋体"/>
          <w:i w:val="0"/>
          <w:caps w:val="0"/>
          <w:color w:val="auto"/>
          <w:spacing w:val="0"/>
          <w:sz w:val="24"/>
          <w:szCs w:val="24"/>
          <w:shd w:val="clear" w:fill="FFFFFF"/>
        </w:rPr>
        <w:t>；平均分</w:t>
      </w:r>
      <w:r>
        <w:rPr>
          <w:rFonts w:hint="eastAsia" w:ascii="宋体" w:hAnsi="宋体" w:eastAsia="宋体" w:cs="宋体"/>
          <w:i w:val="0"/>
          <w:caps w:val="0"/>
          <w:color w:val="auto"/>
          <w:spacing w:val="0"/>
          <w:sz w:val="24"/>
          <w:szCs w:val="24"/>
          <w:shd w:val="clear" w:fill="FFFFFF"/>
          <w:lang w:val="en-US" w:eastAsia="zh-CN"/>
        </w:rPr>
        <w:t>89.96分</w:t>
      </w:r>
      <w:r>
        <w:rPr>
          <w:rFonts w:hint="eastAsia" w:ascii="宋体" w:hAnsi="宋体" w:eastAsia="宋体" w:cs="宋体"/>
          <w:i w:val="0"/>
          <w:caps w:val="0"/>
          <w:color w:val="auto"/>
          <w:spacing w:val="0"/>
          <w:sz w:val="24"/>
          <w:szCs w:val="24"/>
          <w:shd w:val="clear" w:fill="FFFFFF"/>
        </w:rPr>
        <w:t>。</w:t>
      </w:r>
      <w:r>
        <w:rPr>
          <w:rFonts w:ascii="宋体" w:hAnsi="宋体" w:eastAsia="宋体" w:cs="宋体"/>
          <w:i w:val="0"/>
          <w:caps w:val="0"/>
          <w:color w:val="auto"/>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二</w:t>
      </w:r>
      <w:r>
        <w:rPr>
          <w:rFonts w:ascii="宋体" w:hAnsi="宋体" w:eastAsia="宋体" w:cs="宋体"/>
          <w:b/>
          <w:i w:val="0"/>
          <w:caps w:val="0"/>
          <w:color w:val="auto"/>
          <w:spacing w:val="0"/>
          <w:sz w:val="24"/>
          <w:szCs w:val="24"/>
          <w:shd w:val="clear" w:fill="FFFFFF"/>
        </w:rPr>
        <w:t>)</w:t>
      </w:r>
      <w:r>
        <w:rPr>
          <w:rFonts w:hint="eastAsia" w:ascii="宋体" w:hAnsi="宋体" w:eastAsia="宋体" w:cs="宋体"/>
          <w:b/>
          <w:i/>
          <w:caps w:val="0"/>
          <w:color w:val="auto"/>
          <w:spacing w:val="0"/>
          <w:sz w:val="24"/>
          <w:szCs w:val="24"/>
          <w:shd w:val="clear" w:fill="FFFFFF"/>
        </w:rPr>
        <w:t>试</w:t>
      </w:r>
      <w:r>
        <w:rPr>
          <w:rFonts w:hint="eastAsia" w:ascii="宋体" w:hAnsi="宋体" w:eastAsia="宋体" w:cs="宋体"/>
          <w:b/>
          <w:i w:val="0"/>
          <w:caps w:val="0"/>
          <w:color w:val="auto"/>
          <w:spacing w:val="0"/>
          <w:sz w:val="24"/>
          <w:szCs w:val="24"/>
          <w:shd w:val="clear" w:fill="FFFFFF"/>
        </w:rPr>
        <w:t>卷各部分得分率统计</w:t>
      </w:r>
    </w:p>
    <w:tbl>
      <w:tblPr>
        <w:tblStyle w:val="3"/>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65"/>
        <w:gridCol w:w="1445"/>
        <w:gridCol w:w="1313"/>
        <w:gridCol w:w="1087"/>
        <w:gridCol w:w="1363"/>
        <w:gridCol w:w="2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6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rPr>
              <w:t>题型</w:t>
            </w:r>
          </w:p>
        </w:tc>
        <w:tc>
          <w:tcPr>
            <w:tcW w:w="144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rPr>
              <w:t>计算</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填空</w:t>
            </w:r>
          </w:p>
        </w:tc>
        <w:tc>
          <w:tcPr>
            <w:tcW w:w="108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选择</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eastAsiaTheme="minorEastAsia"/>
                <w:color w:val="auto"/>
                <w:sz w:val="24"/>
                <w:szCs w:val="24"/>
                <w:lang w:eastAsia="zh-CN"/>
              </w:rPr>
            </w:pPr>
            <w:r>
              <w:rPr>
                <w:rFonts w:hint="eastAsia" w:ascii="宋体" w:hAnsi="宋体" w:eastAsia="宋体" w:cs="宋体"/>
                <w:i w:val="0"/>
                <w:caps w:val="0"/>
                <w:color w:val="auto"/>
                <w:spacing w:val="0"/>
                <w:sz w:val="24"/>
                <w:szCs w:val="24"/>
                <w:lang w:eastAsia="zh-CN"/>
              </w:rPr>
              <w:t>操作</w:t>
            </w:r>
          </w:p>
        </w:tc>
        <w:tc>
          <w:tcPr>
            <w:tcW w:w="21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eastAsiaTheme="minorEastAsia"/>
                <w:color w:val="auto"/>
                <w:sz w:val="24"/>
                <w:szCs w:val="24"/>
                <w:lang w:eastAsia="zh-CN"/>
              </w:rPr>
            </w:pPr>
            <w:r>
              <w:rPr>
                <w:rFonts w:ascii="宋体" w:hAnsi="宋体" w:eastAsia="宋体" w:cs="宋体"/>
                <w:i w:val="0"/>
                <w:caps w:val="0"/>
                <w:color w:val="auto"/>
                <w:spacing w:val="0"/>
                <w:sz w:val="24"/>
                <w:szCs w:val="24"/>
              </w:rPr>
              <w:t>解决问题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6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rPr>
              <w:t>得分率</w:t>
            </w:r>
          </w:p>
        </w:tc>
        <w:tc>
          <w:tcPr>
            <w:tcW w:w="144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96.98</w:t>
            </w:r>
            <w:r>
              <w:rPr>
                <w:rFonts w:hint="eastAsia" w:ascii="宋体" w:hAnsi="宋体" w:eastAsia="宋体" w:cs="宋体"/>
                <w:i w:val="0"/>
                <w:caps w:val="0"/>
                <w:color w:val="auto"/>
                <w:spacing w:val="0"/>
                <w:sz w:val="24"/>
                <w:szCs w:val="24"/>
                <w:shd w:val="clear" w:fill="FFFFFF"/>
                <w:lang w:val="en-US" w:eastAsia="zh-CN"/>
              </w:rPr>
              <w:t>％</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93.38</w:t>
            </w:r>
            <w:r>
              <w:rPr>
                <w:rFonts w:hint="eastAsia" w:ascii="宋体" w:hAnsi="宋体" w:eastAsia="宋体" w:cs="宋体"/>
                <w:i w:val="0"/>
                <w:caps w:val="0"/>
                <w:color w:val="auto"/>
                <w:spacing w:val="0"/>
                <w:sz w:val="24"/>
                <w:szCs w:val="24"/>
                <w:shd w:val="clear" w:fill="FFFFFF"/>
                <w:lang w:val="en-US" w:eastAsia="zh-CN"/>
              </w:rPr>
              <w:t>％</w:t>
            </w:r>
          </w:p>
        </w:tc>
        <w:tc>
          <w:tcPr>
            <w:tcW w:w="108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78.93</w:t>
            </w:r>
            <w:r>
              <w:rPr>
                <w:rFonts w:hint="eastAsia" w:ascii="宋体" w:hAnsi="宋体" w:eastAsia="宋体" w:cs="宋体"/>
                <w:i w:val="0"/>
                <w:caps w:val="0"/>
                <w:color w:val="auto"/>
                <w:spacing w:val="0"/>
                <w:sz w:val="24"/>
                <w:szCs w:val="24"/>
                <w:shd w:val="clear" w:fill="FFFFFF"/>
                <w:lang w:val="en-US" w:eastAsia="zh-CN"/>
              </w:rPr>
              <w:t>％</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86.58</w:t>
            </w:r>
            <w:r>
              <w:rPr>
                <w:rFonts w:hint="eastAsia" w:ascii="宋体" w:hAnsi="宋体" w:eastAsia="宋体" w:cs="宋体"/>
                <w:i w:val="0"/>
                <w:caps w:val="0"/>
                <w:color w:val="auto"/>
                <w:spacing w:val="0"/>
                <w:sz w:val="24"/>
                <w:szCs w:val="24"/>
                <w:shd w:val="clear" w:fill="FFFFFF"/>
                <w:lang w:val="en-US" w:eastAsia="zh-CN"/>
              </w:rPr>
              <w:t>％</w:t>
            </w:r>
          </w:p>
        </w:tc>
        <w:tc>
          <w:tcPr>
            <w:tcW w:w="214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91.89</w:t>
            </w:r>
            <w:r>
              <w:rPr>
                <w:rFonts w:hint="eastAsia" w:ascii="宋体" w:hAnsi="宋体" w:eastAsia="宋体" w:cs="宋体"/>
                <w:i w:val="0"/>
                <w:caps w:val="0"/>
                <w:color w:val="auto"/>
                <w:spacing w:val="0"/>
                <w:sz w:val="24"/>
                <w:szCs w:val="24"/>
                <w:shd w:val="clear" w:fill="FFFFFF"/>
                <w:lang w:val="en-US" w:eastAsia="zh-CN"/>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三</w:t>
      </w: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各分数段人数比例</w:t>
      </w:r>
    </w:p>
    <w:tbl>
      <w:tblPr>
        <w:tblStyle w:val="3"/>
        <w:tblW w:w="8532"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20"/>
        <w:gridCol w:w="915"/>
        <w:gridCol w:w="1020"/>
        <w:gridCol w:w="1020"/>
        <w:gridCol w:w="828"/>
        <w:gridCol w:w="888"/>
        <w:gridCol w:w="828"/>
        <w:gridCol w:w="1238"/>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3" w:hRule="atLeast"/>
          <w:tblCellSpacing w:w="0" w:type="dxa"/>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rPr>
              <w:t>分数段</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100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99-90</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89-85</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84-75</w:t>
            </w:r>
          </w:p>
        </w:tc>
        <w:tc>
          <w:tcPr>
            <w:tcW w:w="88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74-60</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59-50</w:t>
            </w:r>
          </w:p>
        </w:tc>
        <w:tc>
          <w:tcPr>
            <w:tcW w:w="123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49-40</w:t>
            </w:r>
          </w:p>
        </w:tc>
        <w:tc>
          <w:tcPr>
            <w:tcW w:w="77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ascii="宋体" w:hAnsi="宋体" w:eastAsia="宋体" w:cs="宋体"/>
                <w:i w:val="0"/>
                <w:caps w:val="0"/>
                <w:color w:val="auto"/>
                <w:spacing w:val="0"/>
                <w:sz w:val="24"/>
                <w:szCs w:val="24"/>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blCellSpacing w:w="0" w:type="dxa"/>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eastAsiaTheme="minorEastAsia"/>
                <w:color w:val="auto"/>
                <w:sz w:val="24"/>
                <w:szCs w:val="24"/>
                <w:lang w:eastAsia="zh-CN"/>
              </w:rPr>
            </w:pPr>
            <w:r>
              <w:rPr>
                <w:rFonts w:hint="eastAsia"/>
                <w:color w:val="auto"/>
                <w:sz w:val="24"/>
                <w:szCs w:val="24"/>
                <w:lang w:eastAsia="zh-CN"/>
              </w:rPr>
              <w:t>人数</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18</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261</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50</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24</w:t>
            </w:r>
          </w:p>
        </w:tc>
        <w:tc>
          <w:tcPr>
            <w:tcW w:w="88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4</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1</w:t>
            </w:r>
          </w:p>
        </w:tc>
        <w:tc>
          <w:tcPr>
            <w:tcW w:w="123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1</w:t>
            </w:r>
          </w:p>
        </w:tc>
        <w:tc>
          <w:tcPr>
            <w:tcW w:w="77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default" w:eastAsiaTheme="minorEastAsia"/>
                <w:color w:val="auto"/>
                <w:sz w:val="24"/>
                <w:szCs w:val="24"/>
                <w:lang w:val="en-US" w:eastAsia="zh-CN"/>
              </w:rPr>
            </w:pPr>
            <w:r>
              <w:rPr>
                <w:rFonts w:hint="eastAsia"/>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blCellSpacing w:w="0" w:type="dxa"/>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rPr>
              <w:t>占比</w:t>
            </w:r>
            <w:r>
              <w:rPr>
                <w:rFonts w:ascii="宋体" w:hAnsi="宋体" w:eastAsia="宋体" w:cs="宋体"/>
                <w:i w:val="0"/>
                <w:caps w:val="0"/>
                <w:color w:val="auto"/>
                <w:spacing w:val="0"/>
                <w:sz w:val="24"/>
                <w:szCs w:val="24"/>
              </w:rPr>
              <w:t>%</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6.9％</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72.7％</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13.9％</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6.7％</w:t>
            </w:r>
          </w:p>
        </w:tc>
        <w:tc>
          <w:tcPr>
            <w:tcW w:w="88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1.1％</w:t>
            </w:r>
          </w:p>
        </w:tc>
        <w:tc>
          <w:tcPr>
            <w:tcW w:w="82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0.3％</w:t>
            </w:r>
          </w:p>
        </w:tc>
        <w:tc>
          <w:tcPr>
            <w:tcW w:w="1238"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color w:val="auto"/>
                <w:sz w:val="24"/>
                <w:szCs w:val="24"/>
              </w:rPr>
            </w:pPr>
            <w:r>
              <w:rPr>
                <w:rFonts w:hint="eastAsia" w:ascii="宋体" w:hAnsi="宋体" w:eastAsia="宋体" w:cs="宋体"/>
                <w:i w:val="0"/>
                <w:caps w:val="0"/>
                <w:color w:val="auto"/>
                <w:spacing w:val="0"/>
                <w:sz w:val="24"/>
                <w:szCs w:val="24"/>
                <w:shd w:val="clear" w:fill="FFFFFF"/>
                <w:lang w:val="en-US" w:eastAsia="zh-CN"/>
              </w:rPr>
              <w:t>0.3％</w:t>
            </w:r>
          </w:p>
        </w:tc>
        <w:tc>
          <w:tcPr>
            <w:tcW w:w="775" w:type="dxa"/>
            <w:tcBorders>
              <w:top w:val="single" w:color="000000" w:sz="6" w:space="0"/>
              <w:left w:val="single" w:color="000000" w:sz="6" w:space="0"/>
              <w:bottom w:val="single" w:color="000000" w:sz="6" w:space="0"/>
              <w:right w:val="single" w:color="000000" w:sz="6"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eastAsiaTheme="minorEastAsia"/>
                <w:color w:val="auto"/>
                <w:sz w:val="24"/>
                <w:szCs w:val="24"/>
                <w:lang w:val="en-US" w:eastAsia="zh-CN"/>
              </w:rPr>
            </w:pPr>
            <w:r>
              <w:rPr>
                <w:rFonts w:hint="eastAsia"/>
                <w:color w:val="auto"/>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四</w:t>
      </w:r>
      <w:r>
        <w:rPr>
          <w:rFonts w:ascii="宋体" w:hAnsi="宋体" w:eastAsia="宋体" w:cs="宋体"/>
          <w:b/>
          <w:i w:val="0"/>
          <w:caps w:val="0"/>
          <w:color w:val="auto"/>
          <w:spacing w:val="0"/>
          <w:sz w:val="24"/>
          <w:szCs w:val="24"/>
          <w:shd w:val="clear" w:fill="FFFFFF"/>
        </w:rPr>
        <w:t>)</w:t>
      </w:r>
      <w:r>
        <w:rPr>
          <w:rFonts w:hint="eastAsia" w:ascii="宋体" w:hAnsi="宋体" w:eastAsia="宋体" w:cs="宋体"/>
          <w:b/>
          <w:i w:val="0"/>
          <w:caps w:val="0"/>
          <w:color w:val="auto"/>
          <w:spacing w:val="0"/>
          <w:sz w:val="24"/>
          <w:szCs w:val="24"/>
          <w:shd w:val="clear" w:fill="FFFFFF"/>
        </w:rPr>
        <w:t>各类题型成效分析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ascii="宋体" w:hAnsi="宋体" w:eastAsia="宋体" w:cs="宋体"/>
          <w:i w:val="0"/>
          <w:caps w:val="0"/>
          <w:color w:val="auto"/>
          <w:spacing w:val="0"/>
          <w:sz w:val="24"/>
          <w:szCs w:val="24"/>
        </w:rPr>
      </w:pPr>
      <w:r>
        <w:rPr>
          <w:rFonts w:ascii="宋体" w:hAnsi="宋体" w:eastAsia="宋体" w:cs="宋体"/>
          <w:b/>
          <w:i w:val="0"/>
          <w:caps w:val="0"/>
          <w:color w:val="auto"/>
          <w:spacing w:val="0"/>
          <w:sz w:val="24"/>
          <w:szCs w:val="24"/>
          <w:shd w:val="clear" w:fill="FFFFFF"/>
        </w:rPr>
        <w:t>1. 计算</w:t>
      </w:r>
      <w:r>
        <w:rPr>
          <w:rFonts w:hint="eastAsia" w:ascii="宋体" w:hAnsi="宋体" w:eastAsia="宋体" w:cs="宋体"/>
          <w:b/>
          <w:i w:val="0"/>
          <w:caps w:val="0"/>
          <w:color w:val="auto"/>
          <w:spacing w:val="0"/>
          <w:sz w:val="24"/>
          <w:szCs w:val="24"/>
          <w:shd w:val="clear" w:fill="FFFFFF"/>
        </w:rPr>
        <w:t>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计算试题共两个部分。本次计算题突出本学期所学过的</w:t>
      </w:r>
      <w:r>
        <w:rPr>
          <w:rFonts w:hint="eastAsia" w:ascii="宋体" w:hAnsi="宋体" w:eastAsia="宋体" w:cs="宋体"/>
          <w:i w:val="0"/>
          <w:caps w:val="0"/>
          <w:color w:val="auto"/>
          <w:spacing w:val="0"/>
          <w:sz w:val="24"/>
          <w:szCs w:val="24"/>
          <w:shd w:val="clear" w:fill="FFFFFF"/>
          <w:lang w:eastAsia="zh-CN"/>
        </w:rPr>
        <w:t>有余数的除法，两三位数加、减法，整百数的加、减法的运用以及数的简单混合运算</w:t>
      </w:r>
      <w:r>
        <w:rPr>
          <w:rFonts w:hint="eastAsia" w:ascii="宋体" w:hAnsi="宋体" w:eastAsia="宋体" w:cs="宋体"/>
          <w:i w:val="0"/>
          <w:caps w:val="0"/>
          <w:color w:val="auto"/>
          <w:spacing w:val="0"/>
          <w:sz w:val="24"/>
          <w:szCs w:val="24"/>
          <w:shd w:val="clear" w:fill="FFFFFF"/>
        </w:rPr>
        <w:t>，着重检测学生的基本运算能力。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第一类，口算。考查学生对</w:t>
      </w:r>
      <w:r>
        <w:rPr>
          <w:rFonts w:hint="eastAsia" w:ascii="宋体" w:hAnsi="宋体" w:eastAsia="宋体" w:cs="宋体"/>
          <w:i w:val="0"/>
          <w:caps w:val="0"/>
          <w:color w:val="auto"/>
          <w:spacing w:val="0"/>
          <w:sz w:val="24"/>
          <w:szCs w:val="24"/>
          <w:shd w:val="clear" w:fill="FFFFFF"/>
          <w:lang w:eastAsia="zh-CN"/>
        </w:rPr>
        <w:t>两位数加、减两位数，整百数的加、减法，</w:t>
      </w:r>
      <w:r>
        <w:rPr>
          <w:rFonts w:hint="eastAsia" w:ascii="宋体" w:hAnsi="宋体" w:eastAsia="宋体" w:cs="宋体"/>
          <w:i w:val="0"/>
          <w:caps w:val="0"/>
          <w:color w:val="auto"/>
          <w:spacing w:val="0"/>
          <w:sz w:val="24"/>
          <w:szCs w:val="24"/>
          <w:shd w:val="clear" w:fill="FFFFFF"/>
        </w:rPr>
        <w:t>学生都能快速正确口算。只有极少数学生出现一些问题</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1</w:t>
      </w:r>
      <w:r>
        <w:rPr>
          <w:rFonts w:hint="eastAsia" w:ascii="宋体" w:hAnsi="宋体" w:eastAsia="宋体" w:cs="宋体"/>
          <w:i w:val="0"/>
          <w:caps w:val="0"/>
          <w:color w:val="auto"/>
          <w:spacing w:val="0"/>
          <w:sz w:val="24"/>
          <w:szCs w:val="24"/>
          <w:shd w:val="clear" w:fill="FFFFFF"/>
          <w:lang w:eastAsia="zh-CN"/>
        </w:rPr>
        <w:t>）计算错误</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lang w:eastAsia="zh-CN"/>
        </w:rPr>
        <w:t>）漏题。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第二类：竖式计算</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这一类题目涉及到</w:t>
      </w:r>
      <w:r>
        <w:rPr>
          <w:rFonts w:hint="eastAsia" w:ascii="宋体" w:hAnsi="宋体" w:eastAsia="宋体" w:cs="宋体"/>
          <w:i w:val="0"/>
          <w:caps w:val="0"/>
          <w:color w:val="auto"/>
          <w:spacing w:val="0"/>
          <w:sz w:val="24"/>
          <w:szCs w:val="24"/>
          <w:shd w:val="clear" w:fill="FFFFFF"/>
          <w:lang w:eastAsia="zh-CN"/>
        </w:rPr>
        <w:t>有余数的除法，两三位数加减法和加减混合</w:t>
      </w:r>
      <w:r>
        <w:rPr>
          <w:rFonts w:hint="eastAsia" w:ascii="宋体" w:hAnsi="宋体" w:eastAsia="宋体" w:cs="宋体"/>
          <w:i w:val="0"/>
          <w:caps w:val="0"/>
          <w:color w:val="auto"/>
          <w:spacing w:val="0"/>
          <w:sz w:val="24"/>
          <w:szCs w:val="24"/>
          <w:shd w:val="clear" w:fill="FFFFFF"/>
          <w:lang w:val="en-US" w:eastAsia="zh-CN"/>
        </w:rPr>
        <w:t>的</w:t>
      </w:r>
      <w:r>
        <w:rPr>
          <w:rFonts w:hint="eastAsia" w:ascii="宋体" w:hAnsi="宋体" w:eastAsia="宋体" w:cs="宋体"/>
          <w:i w:val="0"/>
          <w:caps w:val="0"/>
          <w:color w:val="auto"/>
          <w:spacing w:val="0"/>
          <w:sz w:val="24"/>
          <w:szCs w:val="24"/>
          <w:shd w:val="clear" w:fill="FFFFFF"/>
        </w:rPr>
        <w:t>竖式运算能力。学生总体完成情况比较理想。在平时的教学中，教师能够在竖式计算学习的方法上给予积极的学法指导，为学生后续的学习奠定较好的基础。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失分主要在</w:t>
      </w:r>
      <w:r>
        <w:rPr>
          <w:rFonts w:hint="eastAsia" w:ascii="宋体" w:hAnsi="宋体" w:eastAsia="宋体" w:cs="宋体"/>
          <w:i w:val="0"/>
          <w:caps w:val="0"/>
          <w:color w:val="auto"/>
          <w:spacing w:val="0"/>
          <w:sz w:val="24"/>
          <w:szCs w:val="24"/>
          <w:shd w:val="clear" w:fill="FFFFFF"/>
          <w:lang w:eastAsia="zh-CN"/>
        </w:rPr>
        <w:t>隔位退位减和加减混合运算</w:t>
      </w:r>
      <w:r>
        <w:rPr>
          <w:rFonts w:hint="eastAsia" w:ascii="宋体" w:hAnsi="宋体" w:eastAsia="宋体" w:cs="宋体"/>
          <w:i w:val="0"/>
          <w:caps w:val="0"/>
          <w:color w:val="auto"/>
          <w:spacing w:val="0"/>
          <w:sz w:val="24"/>
          <w:szCs w:val="24"/>
          <w:shd w:val="clear" w:fill="FFFFFF"/>
        </w:rPr>
        <w:t>，①少数学生</w:t>
      </w:r>
      <w:r>
        <w:rPr>
          <w:rFonts w:hint="eastAsia" w:ascii="宋体" w:hAnsi="宋体" w:eastAsia="宋体" w:cs="宋体"/>
          <w:i w:val="0"/>
          <w:caps w:val="0"/>
          <w:color w:val="auto"/>
          <w:spacing w:val="0"/>
          <w:sz w:val="24"/>
          <w:szCs w:val="24"/>
          <w:shd w:val="clear" w:fill="FFFFFF"/>
          <w:lang w:eastAsia="zh-CN"/>
        </w:rPr>
        <w:t>退位减的横式得数写成了验算后的结果</w:t>
      </w:r>
      <w:r>
        <w:rPr>
          <w:rFonts w:hint="eastAsia" w:ascii="宋体" w:hAnsi="宋体" w:eastAsia="宋体" w:cs="宋体"/>
          <w:i w:val="0"/>
          <w:caps w:val="0"/>
          <w:color w:val="auto"/>
          <w:spacing w:val="0"/>
          <w:sz w:val="24"/>
          <w:szCs w:val="24"/>
          <w:shd w:val="clear" w:fill="FFFFFF"/>
        </w:rPr>
        <w:t>。②</w:t>
      </w:r>
      <w:r>
        <w:rPr>
          <w:rFonts w:hint="eastAsia" w:ascii="宋体" w:hAnsi="宋体" w:eastAsia="宋体" w:cs="宋体"/>
          <w:i w:val="0"/>
          <w:caps w:val="0"/>
          <w:color w:val="auto"/>
          <w:spacing w:val="0"/>
          <w:sz w:val="24"/>
          <w:szCs w:val="24"/>
          <w:shd w:val="clear" w:fill="FFFFFF"/>
          <w:lang w:eastAsia="zh-CN"/>
        </w:rPr>
        <w:t>个别</w:t>
      </w:r>
      <w:r>
        <w:rPr>
          <w:rFonts w:hint="eastAsia" w:ascii="宋体" w:hAnsi="宋体" w:eastAsia="宋体" w:cs="宋体"/>
          <w:i w:val="0"/>
          <w:caps w:val="0"/>
          <w:color w:val="auto"/>
          <w:spacing w:val="0"/>
          <w:sz w:val="24"/>
          <w:szCs w:val="24"/>
          <w:shd w:val="clear" w:fill="FFFFFF"/>
        </w:rPr>
        <w:t>学生</w:t>
      </w:r>
      <w:r>
        <w:rPr>
          <w:rFonts w:hint="eastAsia" w:ascii="宋体" w:hAnsi="宋体" w:eastAsia="宋体" w:cs="宋体"/>
          <w:i w:val="0"/>
          <w:caps w:val="0"/>
          <w:color w:val="auto"/>
          <w:spacing w:val="0"/>
          <w:sz w:val="24"/>
          <w:szCs w:val="24"/>
          <w:shd w:val="clear" w:fill="FFFFFF"/>
          <w:lang w:eastAsia="zh-CN"/>
        </w:rPr>
        <w:t>隔位退位百位上计算错误</w:t>
      </w:r>
      <w:r>
        <w:rPr>
          <w:rFonts w:hint="eastAsia" w:ascii="宋体" w:hAnsi="宋体" w:eastAsia="宋体" w:cs="宋体"/>
          <w:i w:val="0"/>
          <w:caps w:val="0"/>
          <w:color w:val="auto"/>
          <w:spacing w:val="0"/>
          <w:sz w:val="24"/>
          <w:szCs w:val="24"/>
          <w:shd w:val="clear" w:fill="FFFFFF"/>
        </w:rPr>
        <w:t>③</w:t>
      </w:r>
      <w:r>
        <w:rPr>
          <w:rFonts w:hint="eastAsia" w:ascii="宋体" w:hAnsi="宋体" w:eastAsia="宋体" w:cs="宋体"/>
          <w:i w:val="0"/>
          <w:caps w:val="0"/>
          <w:color w:val="auto"/>
          <w:spacing w:val="0"/>
          <w:sz w:val="24"/>
          <w:szCs w:val="24"/>
          <w:shd w:val="clear" w:fill="FFFFFF"/>
          <w:lang w:eastAsia="zh-CN"/>
        </w:rPr>
        <w:t>混合运算中有同学计算错误，还有同学数抄错</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在平时的教学中，需要培养学生良好的计算习惯，加强书写格式的指导。规范的书写格式可以帮助学生防止错写、漏</w:t>
      </w:r>
      <w:r>
        <w:rPr>
          <w:rFonts w:hint="eastAsia" w:ascii="宋体" w:hAnsi="宋体" w:eastAsia="宋体" w:cs="宋体"/>
          <w:i w:val="0"/>
          <w:caps w:val="0"/>
          <w:color w:val="auto"/>
          <w:spacing w:val="0"/>
          <w:sz w:val="24"/>
          <w:szCs w:val="24"/>
          <w:shd w:val="clear" w:fill="FFFFFF"/>
          <w:lang w:eastAsia="zh-CN"/>
        </w:rPr>
        <w:t>写</w:t>
      </w:r>
      <w:r>
        <w:rPr>
          <w:rFonts w:hint="eastAsia" w:ascii="宋体" w:hAnsi="宋体" w:eastAsia="宋体" w:cs="宋体"/>
          <w:i w:val="0"/>
          <w:caps w:val="0"/>
          <w:color w:val="auto"/>
          <w:spacing w:val="0"/>
          <w:sz w:val="24"/>
          <w:szCs w:val="24"/>
          <w:shd w:val="clear" w:fill="FFFFFF"/>
        </w:rPr>
        <w:t>，减少出错的机会，很好的提高计算准确性；需要加强对计算算理的理解，在比较中沟通计算的异同点，同时对典型的</w:t>
      </w:r>
      <w:r>
        <w:rPr>
          <w:rFonts w:hint="eastAsia" w:ascii="宋体" w:hAnsi="宋体" w:eastAsia="宋体" w:cs="宋体"/>
          <w:i w:val="0"/>
          <w:caps w:val="0"/>
          <w:color w:val="auto"/>
          <w:spacing w:val="0"/>
          <w:sz w:val="24"/>
          <w:szCs w:val="24"/>
          <w:shd w:val="clear" w:fill="FFFFFF"/>
          <w:lang w:eastAsia="zh-CN"/>
        </w:rPr>
        <w:t>题目</w:t>
      </w:r>
      <w:r>
        <w:rPr>
          <w:rFonts w:hint="eastAsia" w:ascii="宋体" w:hAnsi="宋体" w:eastAsia="宋体" w:cs="宋体"/>
          <w:i w:val="0"/>
          <w:caps w:val="0"/>
          <w:color w:val="auto"/>
          <w:spacing w:val="0"/>
          <w:sz w:val="24"/>
          <w:szCs w:val="24"/>
          <w:shd w:val="clear" w:fill="FFFFFF"/>
        </w:rPr>
        <w:t>进行专项巩固、提升训练，真正沟通</w:t>
      </w:r>
      <w:r>
        <w:rPr>
          <w:rFonts w:hint="eastAsia" w:ascii="宋体" w:hAnsi="宋体" w:eastAsia="宋体" w:cs="宋体"/>
          <w:i w:val="0"/>
          <w:caps w:val="0"/>
          <w:color w:val="auto"/>
          <w:spacing w:val="0"/>
          <w:sz w:val="24"/>
          <w:szCs w:val="24"/>
          <w:shd w:val="clear" w:fill="FFFFFF"/>
          <w:lang w:eastAsia="zh-CN"/>
        </w:rPr>
        <w:t>进位加、退位减计算时</w:t>
      </w:r>
      <w:r>
        <w:rPr>
          <w:rFonts w:hint="eastAsia" w:ascii="宋体" w:hAnsi="宋体" w:eastAsia="宋体" w:cs="宋体"/>
          <w:i w:val="0"/>
          <w:caps w:val="0"/>
          <w:color w:val="auto"/>
          <w:spacing w:val="0"/>
          <w:sz w:val="24"/>
          <w:szCs w:val="24"/>
          <w:shd w:val="clear" w:fill="FFFFFF"/>
        </w:rPr>
        <w:t>的结构联系，</w:t>
      </w:r>
      <w:r>
        <w:rPr>
          <w:rFonts w:hint="eastAsia" w:ascii="宋体" w:hAnsi="宋体" w:eastAsia="宋体" w:cs="宋体"/>
          <w:i w:val="0"/>
          <w:caps w:val="0"/>
          <w:color w:val="auto"/>
          <w:spacing w:val="0"/>
          <w:sz w:val="24"/>
          <w:szCs w:val="24"/>
          <w:shd w:val="clear" w:fill="FFFFFF"/>
          <w:lang w:eastAsia="zh-CN"/>
        </w:rPr>
        <w:t>完善认知结构。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填空。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本次填空题突出了</w:t>
      </w:r>
      <w:r>
        <w:rPr>
          <w:rFonts w:hint="eastAsia" w:ascii="宋体" w:hAnsi="宋体" w:eastAsia="宋体" w:cs="宋体"/>
          <w:i w:val="0"/>
          <w:caps w:val="0"/>
          <w:color w:val="auto"/>
          <w:spacing w:val="0"/>
          <w:sz w:val="24"/>
          <w:szCs w:val="24"/>
          <w:shd w:val="clear" w:fill="FFFFFF"/>
          <w:lang w:eastAsia="zh-CN"/>
        </w:rPr>
        <w:t>生活</w:t>
      </w:r>
      <w:r>
        <w:rPr>
          <w:rFonts w:hint="eastAsia" w:ascii="宋体" w:hAnsi="宋体" w:eastAsia="宋体" w:cs="宋体"/>
          <w:i w:val="0"/>
          <w:caps w:val="0"/>
          <w:color w:val="auto"/>
          <w:spacing w:val="0"/>
          <w:sz w:val="24"/>
          <w:szCs w:val="24"/>
          <w:shd w:val="clear" w:fill="FFFFFF"/>
        </w:rPr>
        <w:t>数学</w:t>
      </w:r>
      <w:r>
        <w:rPr>
          <w:rFonts w:hint="eastAsia" w:ascii="宋体" w:hAnsi="宋体" w:eastAsia="宋体" w:cs="宋体"/>
          <w:i w:val="0"/>
          <w:caps w:val="0"/>
          <w:color w:val="auto"/>
          <w:spacing w:val="0"/>
          <w:sz w:val="24"/>
          <w:szCs w:val="24"/>
          <w:shd w:val="clear" w:fill="FFFFFF"/>
          <w:lang w:eastAsia="zh-CN"/>
        </w:rPr>
        <w:t>的理解和</w:t>
      </w:r>
      <w:r>
        <w:rPr>
          <w:rFonts w:hint="eastAsia" w:ascii="宋体" w:hAnsi="宋体" w:eastAsia="宋体" w:cs="宋体"/>
          <w:i w:val="0"/>
          <w:caps w:val="0"/>
          <w:color w:val="auto"/>
          <w:spacing w:val="0"/>
          <w:sz w:val="24"/>
          <w:szCs w:val="24"/>
          <w:shd w:val="clear" w:fill="FFFFFF"/>
        </w:rPr>
        <w:t>灵活运用，考查学生运用所学</w:t>
      </w:r>
      <w:r>
        <w:rPr>
          <w:rFonts w:hint="eastAsia" w:ascii="宋体" w:hAnsi="宋体" w:eastAsia="宋体" w:cs="宋体"/>
          <w:i w:val="0"/>
          <w:caps w:val="0"/>
          <w:color w:val="auto"/>
          <w:spacing w:val="0"/>
          <w:sz w:val="24"/>
          <w:szCs w:val="24"/>
          <w:shd w:val="clear" w:fill="FFFFFF"/>
          <w:lang w:eastAsia="zh-CN"/>
        </w:rPr>
        <w:t>知识</w:t>
      </w:r>
      <w:r>
        <w:rPr>
          <w:rFonts w:hint="eastAsia" w:ascii="宋体" w:hAnsi="宋体" w:eastAsia="宋体" w:cs="宋体"/>
          <w:i w:val="0"/>
          <w:caps w:val="0"/>
          <w:color w:val="auto"/>
          <w:spacing w:val="0"/>
          <w:sz w:val="24"/>
          <w:szCs w:val="24"/>
          <w:shd w:val="clear" w:fill="FFFFFF"/>
        </w:rPr>
        <w:t>进行数学思维、理解与解决问题的能力。大部分学生能准确把握</w:t>
      </w:r>
      <w:r>
        <w:rPr>
          <w:rFonts w:hint="eastAsia" w:ascii="宋体" w:hAnsi="宋体" w:eastAsia="宋体" w:cs="宋体"/>
          <w:i w:val="0"/>
          <w:caps w:val="0"/>
          <w:color w:val="auto"/>
          <w:spacing w:val="0"/>
          <w:sz w:val="24"/>
          <w:szCs w:val="24"/>
          <w:shd w:val="clear" w:fill="FFFFFF"/>
          <w:lang w:eastAsia="zh-CN"/>
        </w:rPr>
        <w:t>本学期</w:t>
      </w:r>
      <w:r>
        <w:rPr>
          <w:rFonts w:hint="eastAsia" w:ascii="宋体" w:hAnsi="宋体" w:eastAsia="宋体" w:cs="宋体"/>
          <w:i w:val="0"/>
          <w:caps w:val="0"/>
          <w:color w:val="auto"/>
          <w:spacing w:val="0"/>
          <w:sz w:val="24"/>
          <w:szCs w:val="24"/>
          <w:shd w:val="clear" w:fill="FFFFFF"/>
        </w:rPr>
        <w:t>数学</w:t>
      </w:r>
      <w:r>
        <w:rPr>
          <w:rFonts w:hint="eastAsia" w:ascii="宋体" w:hAnsi="宋体" w:eastAsia="宋体" w:cs="宋体"/>
          <w:i w:val="0"/>
          <w:caps w:val="0"/>
          <w:color w:val="auto"/>
          <w:spacing w:val="0"/>
          <w:sz w:val="24"/>
          <w:szCs w:val="24"/>
          <w:shd w:val="clear" w:fill="FFFFFF"/>
          <w:lang w:eastAsia="zh-CN"/>
        </w:rPr>
        <w:t>知识核心</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eastAsia="zh-CN"/>
        </w:rPr>
        <w:t>能</w:t>
      </w:r>
      <w:r>
        <w:rPr>
          <w:rFonts w:hint="eastAsia" w:ascii="宋体" w:hAnsi="宋体" w:eastAsia="宋体" w:cs="宋体"/>
          <w:i w:val="0"/>
          <w:caps w:val="0"/>
          <w:color w:val="auto"/>
          <w:spacing w:val="0"/>
          <w:sz w:val="24"/>
          <w:szCs w:val="24"/>
          <w:shd w:val="clear" w:fill="FFFFFF"/>
        </w:rPr>
        <w:t>结合具体数学情境作出正确反应。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宋体" w:hAnsi="宋体" w:eastAsia="宋体" w:cs="宋体"/>
          <w:i w:val="0"/>
          <w:caps w:val="0"/>
          <w:color w:val="auto"/>
          <w:spacing w:val="0"/>
          <w:sz w:val="24"/>
          <w:szCs w:val="24"/>
          <w:shd w:val="clear" w:fill="FFFFFF"/>
          <w:lang w:val="en-US"/>
        </w:rPr>
      </w:pPr>
      <w:r>
        <w:rPr>
          <w:rFonts w:hint="eastAsia" w:ascii="宋体" w:hAnsi="宋体" w:eastAsia="宋体" w:cs="宋体"/>
          <w:i w:val="0"/>
          <w:caps w:val="0"/>
          <w:color w:val="auto"/>
          <w:spacing w:val="0"/>
          <w:sz w:val="24"/>
          <w:szCs w:val="24"/>
          <w:shd w:val="clear" w:fill="FFFFFF"/>
        </w:rPr>
        <w:t>从卷面完成情况来看，大部分学生能准确把握数学</w:t>
      </w:r>
      <w:r>
        <w:rPr>
          <w:rFonts w:hint="eastAsia" w:ascii="宋体" w:hAnsi="宋体" w:eastAsia="宋体" w:cs="宋体"/>
          <w:i w:val="0"/>
          <w:caps w:val="0"/>
          <w:color w:val="auto"/>
          <w:spacing w:val="0"/>
          <w:sz w:val="24"/>
          <w:szCs w:val="24"/>
          <w:shd w:val="clear" w:fill="FFFFFF"/>
          <w:lang w:eastAsia="zh-CN"/>
        </w:rPr>
        <w:t>核心知识</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eastAsia="zh-CN"/>
        </w:rPr>
        <w:t>实际运用时能</w:t>
      </w:r>
      <w:r>
        <w:rPr>
          <w:rFonts w:hint="eastAsia" w:ascii="宋体" w:hAnsi="宋体" w:eastAsia="宋体" w:cs="宋体"/>
          <w:i w:val="0"/>
          <w:caps w:val="0"/>
          <w:color w:val="auto"/>
          <w:spacing w:val="0"/>
          <w:sz w:val="24"/>
          <w:szCs w:val="24"/>
          <w:shd w:val="clear" w:fill="FFFFFF"/>
        </w:rPr>
        <w:t>结合具体数学情境作出正确反应。主要错误有：</w:t>
      </w:r>
      <w:r>
        <w:rPr>
          <w:rFonts w:hint="eastAsia" w:ascii="宋体" w:hAnsi="宋体" w:eastAsia="宋体" w:cs="宋体"/>
          <w:i w:val="0"/>
          <w:caps w:val="0"/>
          <w:color w:val="auto"/>
          <w:spacing w:val="0"/>
          <w:sz w:val="24"/>
          <w:szCs w:val="24"/>
          <w:shd w:val="clear" w:fill="FFFFFF"/>
          <w:lang w:eastAsia="zh-CN"/>
        </w:rPr>
        <w:t>系鞋带大约需要</w:t>
      </w:r>
      <w:r>
        <w:rPr>
          <w:rFonts w:hint="eastAsia" w:ascii="宋体" w:hAnsi="宋体" w:eastAsia="宋体" w:cs="宋体"/>
          <w:i w:val="0"/>
          <w:caps w:val="0"/>
          <w:color w:val="auto"/>
          <w:spacing w:val="0"/>
          <w:sz w:val="24"/>
          <w:szCs w:val="24"/>
          <w:shd w:val="clear" w:fill="FFFFFF"/>
          <w:lang w:val="en-US" w:eastAsia="zh-CN"/>
        </w:rPr>
        <w:t>35（   ）；从乐乐家到公园是向（   ）走，再向（   ）走。估算的错误也较多，相关概念也不清楚。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由此可见，在平时的课堂教学中，注重情景教学的同时，也要注重对相关生活常识的渗透运用；要加强学生数学思维逻辑能力的培养。应将书本知识与实际生活相结合，将生活常识引入课堂，使课堂知识在生活运用中得以拓展延伸。在平时的练习解题过程中，需进一步引导学生通过观察分析，形成数学概念，并掌握数学概念，加强培养学生的审题读题能力和空间想像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3. 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本次选择题主要考察</w:t>
      </w:r>
      <w:r>
        <w:rPr>
          <w:rFonts w:hint="eastAsia" w:ascii="宋体" w:hAnsi="宋体" w:eastAsia="宋体" w:cs="宋体"/>
          <w:i w:val="0"/>
          <w:caps w:val="0"/>
          <w:color w:val="auto"/>
          <w:spacing w:val="0"/>
          <w:sz w:val="24"/>
          <w:szCs w:val="24"/>
          <w:shd w:val="clear" w:fill="FFFFFF"/>
          <w:lang w:eastAsia="zh-CN"/>
        </w:rPr>
        <w:t>数与代数的实际运用、图形与几何的认识和理解</w:t>
      </w:r>
      <w:r>
        <w:rPr>
          <w:rFonts w:hint="eastAsia" w:ascii="宋体" w:hAnsi="宋体" w:eastAsia="宋体" w:cs="宋体"/>
          <w:i w:val="0"/>
          <w:caps w:val="0"/>
          <w:color w:val="auto"/>
          <w:spacing w:val="0"/>
          <w:sz w:val="24"/>
          <w:szCs w:val="24"/>
          <w:shd w:val="clear" w:fill="FFFFFF"/>
        </w:rPr>
        <w:t>，学生对于所学习的重点知识掌握比较好，也都能正确运用到实际问题中。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rPr>
        <w:t>这一类题目出错相对比较多的是第</w:t>
      </w: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题，</w:t>
      </w:r>
      <w:r>
        <w:rPr>
          <w:rFonts w:hint="eastAsia" w:ascii="宋体" w:hAnsi="宋体" w:eastAsia="宋体" w:cs="宋体"/>
          <w:i w:val="0"/>
          <w:caps w:val="0"/>
          <w:color w:val="auto"/>
          <w:spacing w:val="0"/>
          <w:sz w:val="24"/>
          <w:szCs w:val="24"/>
          <w:shd w:val="clear" w:fill="FFFFFF"/>
          <w:lang w:val="en-US" w:eastAsia="zh-CN"/>
        </w:rPr>
        <w:t>8□54＜8□45里可以填哪些数，部分学生没有考虑到十位上数的大小，选择了0-3；第5题有余数除法计算的算理理解不透。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lang w:eastAsia="zh-CN"/>
        </w:rPr>
        <w:t>动手操作</w:t>
      </w:r>
      <w:r>
        <w:rPr>
          <w:rFonts w:hint="eastAsia" w:ascii="宋体" w:hAnsi="宋体" w:eastAsia="宋体" w:cs="宋体"/>
          <w:i w:val="0"/>
          <w:caps w:val="0"/>
          <w:color w:val="auto"/>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本题是对数学</w:t>
      </w:r>
      <w:r>
        <w:rPr>
          <w:rFonts w:hint="eastAsia" w:ascii="宋体" w:hAnsi="宋体" w:eastAsia="宋体" w:cs="宋体"/>
          <w:i w:val="0"/>
          <w:caps w:val="0"/>
          <w:color w:val="auto"/>
          <w:spacing w:val="0"/>
          <w:sz w:val="24"/>
          <w:szCs w:val="24"/>
          <w:shd w:val="clear" w:fill="FFFFFF"/>
          <w:lang w:eastAsia="zh-CN"/>
        </w:rPr>
        <w:t>图形</w:t>
      </w:r>
      <w:r>
        <w:rPr>
          <w:rFonts w:hint="eastAsia" w:ascii="宋体" w:hAnsi="宋体" w:eastAsia="宋体" w:cs="宋体"/>
          <w:i w:val="0"/>
          <w:caps w:val="0"/>
          <w:color w:val="auto"/>
          <w:spacing w:val="0"/>
          <w:sz w:val="24"/>
          <w:szCs w:val="24"/>
          <w:shd w:val="clear" w:fill="FFFFFF"/>
        </w:rPr>
        <w:t>的</w:t>
      </w:r>
      <w:r>
        <w:rPr>
          <w:rFonts w:hint="eastAsia" w:ascii="宋体" w:hAnsi="宋体" w:eastAsia="宋体" w:cs="宋体"/>
          <w:i w:val="0"/>
          <w:caps w:val="0"/>
          <w:color w:val="auto"/>
          <w:spacing w:val="0"/>
          <w:sz w:val="24"/>
          <w:szCs w:val="24"/>
          <w:shd w:val="clear" w:fill="FFFFFF"/>
          <w:lang w:eastAsia="zh-CN"/>
        </w:rPr>
        <w:t>认识</w:t>
      </w:r>
      <w:r>
        <w:rPr>
          <w:rFonts w:hint="eastAsia" w:ascii="宋体" w:hAnsi="宋体" w:eastAsia="宋体" w:cs="宋体"/>
          <w:i w:val="0"/>
          <w:caps w:val="0"/>
          <w:color w:val="auto"/>
          <w:spacing w:val="0"/>
          <w:sz w:val="24"/>
          <w:szCs w:val="24"/>
          <w:shd w:val="clear" w:fill="FFFFFF"/>
        </w:rPr>
        <w:t>理解、</w:t>
      </w:r>
      <w:r>
        <w:rPr>
          <w:rFonts w:hint="eastAsia" w:ascii="宋体" w:hAnsi="宋体" w:eastAsia="宋体" w:cs="宋体"/>
          <w:i w:val="0"/>
          <w:caps w:val="0"/>
          <w:color w:val="auto"/>
          <w:spacing w:val="0"/>
          <w:sz w:val="24"/>
          <w:szCs w:val="24"/>
          <w:shd w:val="clear" w:fill="FFFFFF"/>
          <w:lang w:eastAsia="zh-CN"/>
        </w:rPr>
        <w:t>感受一些简单平面图形沿不同方向的移动</w:t>
      </w:r>
      <w:r>
        <w:rPr>
          <w:rFonts w:hint="eastAsia" w:ascii="宋体" w:hAnsi="宋体" w:eastAsia="宋体" w:cs="宋体"/>
          <w:i w:val="0"/>
          <w:caps w:val="0"/>
          <w:color w:val="auto"/>
          <w:spacing w:val="0"/>
          <w:sz w:val="24"/>
          <w:szCs w:val="24"/>
          <w:shd w:val="clear" w:fill="FFFFFF"/>
        </w:rPr>
        <w:t>等综合性考查，情境更加具体灵活，学生需在认真审题、整体理解的基础上，深入到对每一个问题的思考理解。大部分学生掌握了一定的解决问题的方法和技巧，能够较好地对数学问题的理解到位；在仔细认真审题后，作出分析，</w:t>
      </w:r>
      <w:r>
        <w:rPr>
          <w:rFonts w:hint="eastAsia" w:ascii="宋体" w:hAnsi="宋体" w:eastAsia="宋体" w:cs="宋体"/>
          <w:i w:val="0"/>
          <w:caps w:val="0"/>
          <w:color w:val="auto"/>
          <w:spacing w:val="0"/>
          <w:sz w:val="24"/>
          <w:szCs w:val="24"/>
          <w:shd w:val="clear" w:fill="FFFFFF"/>
          <w:lang w:eastAsia="zh-CN"/>
        </w:rPr>
        <w:t>找到有效的方法</w:t>
      </w:r>
      <w:r>
        <w:rPr>
          <w:rFonts w:hint="eastAsia" w:ascii="宋体" w:hAnsi="宋体" w:eastAsia="宋体" w:cs="宋体"/>
          <w:i w:val="0"/>
          <w:caps w:val="0"/>
          <w:color w:val="auto"/>
          <w:spacing w:val="0"/>
          <w:sz w:val="24"/>
          <w:szCs w:val="24"/>
          <w:shd w:val="clear" w:fill="FFFFFF"/>
        </w:rPr>
        <w:t>进行解答。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rPr>
        <w:t>而部分理解能力较弱的学生缺乏对题目的题意理解，没有</w:t>
      </w:r>
      <w:r>
        <w:rPr>
          <w:rFonts w:hint="eastAsia" w:ascii="宋体" w:hAnsi="宋体" w:eastAsia="宋体" w:cs="宋体"/>
          <w:i w:val="0"/>
          <w:caps w:val="0"/>
          <w:color w:val="auto"/>
          <w:spacing w:val="0"/>
          <w:sz w:val="24"/>
          <w:szCs w:val="24"/>
          <w:shd w:val="clear" w:fill="FFFFFF"/>
          <w:lang w:eastAsia="zh-CN"/>
        </w:rPr>
        <w:t>领会到</w:t>
      </w:r>
      <w:r>
        <w:rPr>
          <w:rFonts w:hint="eastAsia" w:ascii="宋体" w:hAnsi="宋体" w:eastAsia="宋体" w:cs="宋体"/>
          <w:i w:val="0"/>
          <w:caps w:val="0"/>
          <w:color w:val="auto"/>
          <w:spacing w:val="0"/>
          <w:sz w:val="24"/>
          <w:szCs w:val="24"/>
          <w:shd w:val="clear" w:fill="FFFFFF"/>
        </w:rPr>
        <w:t>整个题目</w:t>
      </w:r>
      <w:r>
        <w:rPr>
          <w:rFonts w:hint="eastAsia" w:ascii="宋体" w:hAnsi="宋体" w:eastAsia="宋体" w:cs="宋体"/>
          <w:i w:val="0"/>
          <w:caps w:val="0"/>
          <w:color w:val="auto"/>
          <w:spacing w:val="0"/>
          <w:sz w:val="24"/>
          <w:szCs w:val="24"/>
          <w:shd w:val="clear" w:fill="FFFFFF"/>
          <w:lang w:eastAsia="zh-CN"/>
        </w:rPr>
        <w:t>意思</w:t>
      </w:r>
      <w:r>
        <w:rPr>
          <w:rFonts w:hint="eastAsia" w:ascii="宋体" w:hAnsi="宋体" w:eastAsia="宋体" w:cs="宋体"/>
          <w:i w:val="0"/>
          <w:caps w:val="0"/>
          <w:color w:val="auto"/>
          <w:spacing w:val="0"/>
          <w:sz w:val="24"/>
          <w:szCs w:val="24"/>
          <w:shd w:val="clear" w:fill="FFFFFF"/>
        </w:rPr>
        <w:t>；不能做到认真细致地分析思考，正确解答问题。</w:t>
      </w:r>
      <w:r>
        <w:rPr>
          <w:rFonts w:hint="eastAsia" w:ascii="宋体" w:hAnsi="宋体" w:eastAsia="宋体" w:cs="宋体"/>
          <w:i w:val="0"/>
          <w:caps w:val="0"/>
          <w:color w:val="auto"/>
          <w:spacing w:val="0"/>
          <w:sz w:val="24"/>
          <w:szCs w:val="24"/>
          <w:shd w:val="clear" w:fill="FFFFFF"/>
          <w:lang w:eastAsia="zh-CN"/>
        </w:rPr>
        <w:t>比如画一条比上面线段长</w:t>
      </w:r>
      <w:r>
        <w:rPr>
          <w:rFonts w:hint="eastAsia" w:ascii="宋体" w:hAnsi="宋体" w:eastAsia="宋体" w:cs="宋体"/>
          <w:i w:val="0"/>
          <w:caps w:val="0"/>
          <w:color w:val="auto"/>
          <w:spacing w:val="0"/>
          <w:sz w:val="24"/>
          <w:szCs w:val="24"/>
          <w:shd w:val="clear" w:fill="FFFFFF"/>
          <w:lang w:val="en-US" w:eastAsia="zh-CN"/>
        </w:rPr>
        <w:t>10毫米的线段，每班都有10人左右漏做，做题浮躁；数角时不够细心，有漏数现象。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b w:val="0"/>
          <w:bCs w:val="0"/>
          <w:color w:val="auto"/>
          <w:kern w:val="0"/>
          <w:sz w:val="24"/>
          <w:szCs w:val="24"/>
        </w:rPr>
        <w:t>因此，在平时的课堂中要从读懂题目入手，引导学生</w:t>
      </w:r>
      <w:r>
        <w:rPr>
          <w:rFonts w:hint="eastAsia" w:ascii="宋体" w:hAnsi="宋体" w:eastAsia="宋体" w:cs="宋体"/>
          <w:b w:val="0"/>
          <w:bCs w:val="0"/>
          <w:color w:val="auto"/>
          <w:kern w:val="0"/>
          <w:sz w:val="24"/>
          <w:szCs w:val="24"/>
          <w:lang w:eastAsia="zh-CN"/>
        </w:rPr>
        <w:t>多读，多想，</w:t>
      </w:r>
      <w:r>
        <w:rPr>
          <w:rFonts w:hint="eastAsia" w:ascii="宋体" w:hAnsi="宋体" w:eastAsia="宋体" w:cs="宋体"/>
          <w:b w:val="0"/>
          <w:bCs w:val="0"/>
          <w:color w:val="auto"/>
          <w:kern w:val="0"/>
          <w:sz w:val="24"/>
          <w:szCs w:val="24"/>
        </w:rPr>
        <w:t>切实提高数学解决问题的能力。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.解决实际问题。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本题是对</w:t>
      </w:r>
      <w:r>
        <w:rPr>
          <w:rFonts w:hint="eastAsia" w:ascii="宋体" w:hAnsi="宋体" w:eastAsia="宋体" w:cs="宋体"/>
          <w:i w:val="0"/>
          <w:caps w:val="0"/>
          <w:color w:val="auto"/>
          <w:spacing w:val="0"/>
          <w:sz w:val="24"/>
          <w:szCs w:val="24"/>
          <w:shd w:val="clear" w:fill="FFFFFF"/>
          <w:lang w:eastAsia="zh-CN"/>
        </w:rPr>
        <w:t>生活中的</w:t>
      </w:r>
      <w:r>
        <w:rPr>
          <w:rFonts w:hint="eastAsia" w:ascii="宋体" w:hAnsi="宋体" w:eastAsia="宋体" w:cs="宋体"/>
          <w:i w:val="0"/>
          <w:caps w:val="0"/>
          <w:color w:val="auto"/>
          <w:spacing w:val="0"/>
          <w:sz w:val="24"/>
          <w:szCs w:val="24"/>
          <w:shd w:val="clear" w:fill="FFFFFF"/>
        </w:rPr>
        <w:t>数学的理解、</w:t>
      </w:r>
      <w:r>
        <w:rPr>
          <w:rFonts w:hint="eastAsia" w:ascii="宋体" w:hAnsi="宋体" w:eastAsia="宋体" w:cs="宋体"/>
          <w:i w:val="0"/>
          <w:caps w:val="0"/>
          <w:color w:val="auto"/>
          <w:spacing w:val="0"/>
          <w:sz w:val="24"/>
          <w:szCs w:val="24"/>
          <w:shd w:val="clear" w:fill="FFFFFF"/>
          <w:lang w:eastAsia="zh-CN"/>
        </w:rPr>
        <w:t>灵活</w:t>
      </w:r>
      <w:r>
        <w:rPr>
          <w:rFonts w:hint="eastAsia" w:ascii="宋体" w:hAnsi="宋体" w:eastAsia="宋体" w:cs="宋体"/>
          <w:i w:val="0"/>
          <w:caps w:val="0"/>
          <w:color w:val="auto"/>
          <w:spacing w:val="0"/>
          <w:sz w:val="24"/>
          <w:szCs w:val="24"/>
          <w:shd w:val="clear" w:fill="FFFFFF"/>
        </w:rPr>
        <w:t>运算的策略等综合性考查，情境更加具体</w:t>
      </w:r>
      <w:r>
        <w:rPr>
          <w:rFonts w:hint="eastAsia" w:ascii="宋体" w:hAnsi="宋体" w:eastAsia="宋体" w:cs="宋体"/>
          <w:i w:val="0"/>
          <w:caps w:val="0"/>
          <w:color w:val="auto"/>
          <w:spacing w:val="0"/>
          <w:sz w:val="24"/>
          <w:szCs w:val="24"/>
          <w:shd w:val="clear" w:fill="FFFFFF"/>
          <w:lang w:eastAsia="zh-CN"/>
        </w:rPr>
        <w:t>生动</w:t>
      </w:r>
      <w:r>
        <w:rPr>
          <w:rFonts w:hint="eastAsia" w:ascii="宋体" w:hAnsi="宋体" w:eastAsia="宋体" w:cs="宋体"/>
          <w:i w:val="0"/>
          <w:caps w:val="0"/>
          <w:color w:val="auto"/>
          <w:spacing w:val="0"/>
          <w:sz w:val="24"/>
          <w:szCs w:val="24"/>
          <w:shd w:val="clear" w:fill="FFFFFF"/>
        </w:rPr>
        <w:t>，学生需在认真审题、整体理解的基础上，深入到对每一个问题的思考理解。学生</w:t>
      </w:r>
      <w:r>
        <w:rPr>
          <w:rFonts w:hint="eastAsia" w:ascii="宋体" w:hAnsi="宋体" w:eastAsia="宋体" w:cs="宋体"/>
          <w:i w:val="0"/>
          <w:caps w:val="0"/>
          <w:color w:val="auto"/>
          <w:spacing w:val="0"/>
          <w:sz w:val="24"/>
          <w:szCs w:val="24"/>
          <w:shd w:val="clear" w:fill="FFFFFF"/>
          <w:lang w:eastAsia="zh-CN"/>
        </w:rPr>
        <w:t>基本</w:t>
      </w:r>
      <w:r>
        <w:rPr>
          <w:rFonts w:hint="eastAsia" w:ascii="宋体" w:hAnsi="宋体" w:eastAsia="宋体" w:cs="宋体"/>
          <w:i w:val="0"/>
          <w:caps w:val="0"/>
          <w:color w:val="auto"/>
          <w:spacing w:val="0"/>
          <w:sz w:val="24"/>
          <w:szCs w:val="24"/>
          <w:shd w:val="clear" w:fill="FFFFFF"/>
        </w:rPr>
        <w:t>掌握了解决问题的方法和技巧，能够在认真审题后，作出分析，列出正确算式进行解答。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而部分理解能力较弱的学生缺乏对题目的题意理解和数量关系的分析，没有将整个题目进行整体通读；对于稍复杂的情境不能做到认真细致地分析思考，把握数量之间的关系，正确解答问题。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rPr>
        <w:t>第</w:t>
      </w: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题</w:t>
      </w:r>
      <w:r>
        <w:rPr>
          <w:rFonts w:hint="eastAsia" w:ascii="宋体" w:hAnsi="宋体" w:eastAsia="宋体" w:cs="宋体"/>
          <w:i w:val="0"/>
          <w:caps w:val="0"/>
          <w:color w:val="auto"/>
          <w:spacing w:val="0"/>
          <w:sz w:val="24"/>
          <w:szCs w:val="24"/>
          <w:shd w:val="clear" w:fill="FFFFFF"/>
          <w:lang w:eastAsia="zh-CN"/>
        </w:rPr>
        <w:t>如果坐小船，至少需要（</w:t>
      </w:r>
      <w:r>
        <w:rPr>
          <w:rFonts w:hint="eastAsia" w:ascii="宋体" w:hAnsi="宋体" w:eastAsia="宋体" w:cs="宋体"/>
          <w:i w:val="0"/>
          <w:caps w:val="0"/>
          <w:color w:val="auto"/>
          <w:spacing w:val="0"/>
          <w:sz w:val="24"/>
          <w:szCs w:val="24"/>
          <w:shd w:val="clear" w:fill="FFFFFF"/>
          <w:lang w:val="en-US" w:eastAsia="zh-CN"/>
        </w:rPr>
        <w:t xml:space="preserve">  ）条船，没有根据实际情况灵活选择合适的近似数</w:t>
      </w:r>
      <w:r>
        <w:rPr>
          <w:rFonts w:hint="eastAsia" w:ascii="宋体" w:hAnsi="宋体" w:eastAsia="宋体" w:cs="宋体"/>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宋体" w:hAnsi="宋体" w:eastAsia="宋体" w:cs="宋体"/>
          <w:i w:val="0"/>
          <w:caps w:val="0"/>
          <w:color w:val="auto"/>
          <w:spacing w:val="0"/>
          <w:sz w:val="24"/>
          <w:szCs w:val="24"/>
          <w:shd w:val="clear" w:fill="FFFFFF"/>
          <w:lang w:val="en-US"/>
        </w:rPr>
      </w:pPr>
      <w:r>
        <w:rPr>
          <w:rFonts w:hint="eastAsia" w:ascii="宋体" w:hAnsi="宋体" w:eastAsia="宋体" w:cs="宋体"/>
          <w:i w:val="0"/>
          <w:caps w:val="0"/>
          <w:color w:val="auto"/>
          <w:spacing w:val="0"/>
          <w:sz w:val="24"/>
          <w:szCs w:val="24"/>
          <w:shd w:val="clear" w:fill="FFFFFF"/>
        </w:rPr>
        <w:t>第</w:t>
      </w:r>
      <w:r>
        <w:rPr>
          <w:rFonts w:hint="eastAsia" w:ascii="宋体" w:hAnsi="宋体" w:eastAsia="宋体" w:cs="宋体"/>
          <w:i w:val="0"/>
          <w:caps w:val="0"/>
          <w:color w:val="auto"/>
          <w:spacing w:val="0"/>
          <w:sz w:val="24"/>
          <w:szCs w:val="24"/>
          <w:shd w:val="clear" w:fill="FFFFFF"/>
          <w:lang w:val="en-US" w:eastAsia="zh-CN"/>
        </w:rPr>
        <w:t>4</w:t>
      </w:r>
      <w:r>
        <w:rPr>
          <w:rFonts w:hint="eastAsia" w:ascii="宋体" w:hAnsi="宋体" w:eastAsia="宋体" w:cs="宋体"/>
          <w:i w:val="0"/>
          <w:caps w:val="0"/>
          <w:color w:val="auto"/>
          <w:spacing w:val="0"/>
          <w:sz w:val="24"/>
          <w:szCs w:val="24"/>
          <w:shd w:val="clear" w:fill="FFFFFF"/>
        </w:rPr>
        <w:t>题</w:t>
      </w:r>
      <w:r>
        <w:rPr>
          <w:rFonts w:hint="eastAsia" w:ascii="宋体" w:hAnsi="宋体" w:eastAsia="宋体" w:cs="宋体"/>
          <w:i w:val="0"/>
          <w:caps w:val="0"/>
          <w:color w:val="auto"/>
          <w:spacing w:val="0"/>
          <w:sz w:val="24"/>
          <w:szCs w:val="24"/>
          <w:shd w:val="clear" w:fill="FFFFFF"/>
          <w:lang w:eastAsia="zh-CN"/>
        </w:rPr>
        <w:t>估一估，大约需要（</w:t>
      </w:r>
      <w:r>
        <w:rPr>
          <w:rFonts w:hint="eastAsia" w:ascii="宋体" w:hAnsi="宋体" w:eastAsia="宋体" w:cs="宋体"/>
          <w:i w:val="0"/>
          <w:caps w:val="0"/>
          <w:color w:val="auto"/>
          <w:spacing w:val="0"/>
          <w:sz w:val="24"/>
          <w:szCs w:val="24"/>
          <w:shd w:val="clear" w:fill="FFFFFF"/>
          <w:lang w:val="en-US" w:eastAsia="zh-CN"/>
        </w:rPr>
        <w:t xml:space="preserve">  ）百元，没有考虑到（  ）后有一个百字，审题不够细致。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计算错误还大量存在，运算能力还需进一步加强培养。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解决实际问题和知识综合性运用向来是部分学生数学学习中的难点。从卷面答题情况来看，大部分学生掌握解决问题的方法和技巧，对数学问题的理解到位；</w:t>
      </w:r>
      <w:r>
        <w:rPr>
          <w:rFonts w:hint="eastAsia" w:ascii="宋体" w:hAnsi="宋体" w:eastAsia="宋体" w:cs="宋体"/>
          <w:i w:val="0"/>
          <w:caps w:val="0"/>
          <w:color w:val="auto"/>
          <w:spacing w:val="0"/>
          <w:sz w:val="24"/>
          <w:szCs w:val="24"/>
          <w:shd w:val="clear" w:fill="FFFFFF"/>
          <w:lang w:eastAsia="zh-CN"/>
        </w:rPr>
        <w:t>能</w:t>
      </w:r>
      <w:r>
        <w:rPr>
          <w:rFonts w:hint="eastAsia" w:ascii="宋体" w:hAnsi="宋体" w:eastAsia="宋体" w:cs="宋体"/>
          <w:i w:val="0"/>
          <w:caps w:val="0"/>
          <w:color w:val="auto"/>
          <w:spacing w:val="0"/>
          <w:sz w:val="24"/>
          <w:szCs w:val="24"/>
          <w:shd w:val="clear" w:fill="FFFFFF"/>
        </w:rPr>
        <w:t>列出正确算式进行解答。而部分理解能力较弱的学生缺乏对题目的理解和数量关系的分析，对于稍复杂的情境不能做到认真细致地分析思考，把握数量之间的关系，正确解答问题。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黑体" w:cs="宋体"/>
          <w:i w:val="0"/>
          <w:caps w:val="0"/>
          <w:color w:val="auto"/>
          <w:spacing w:val="0"/>
          <w:sz w:val="24"/>
          <w:szCs w:val="24"/>
          <w:lang w:eastAsia="zh-CN"/>
        </w:rPr>
      </w:pPr>
      <w:r>
        <w:rPr>
          <w:rFonts w:hint="eastAsia" w:ascii="黑体" w:hAnsi="宋体" w:eastAsia="黑体" w:cs="黑体"/>
          <w:i w:val="0"/>
          <w:caps w:val="0"/>
          <w:color w:val="auto"/>
          <w:spacing w:val="0"/>
          <w:sz w:val="24"/>
          <w:szCs w:val="24"/>
          <w:shd w:val="clear" w:fill="FFFFFF"/>
        </w:rPr>
        <w:t>三、</w:t>
      </w:r>
      <w:r>
        <w:rPr>
          <w:rFonts w:hint="eastAsia" w:ascii="黑体" w:hAnsi="宋体" w:eastAsia="黑体" w:cs="黑体"/>
          <w:i w:val="0"/>
          <w:caps w:val="0"/>
          <w:color w:val="auto"/>
          <w:spacing w:val="0"/>
          <w:sz w:val="24"/>
          <w:szCs w:val="24"/>
          <w:shd w:val="clear" w:fill="FFFFFF"/>
          <w:lang w:eastAsia="zh-CN"/>
        </w:rPr>
        <w:t>问题与对策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4"/>
          <w:szCs w:val="24"/>
          <w:shd w:val="clear" w:fill="FFFFFF"/>
          <w:lang w:val="en-US" w:eastAsia="zh-CN"/>
        </w:rPr>
      </w:pPr>
      <w:r>
        <w:rPr>
          <w:rFonts w:hint="eastAsia"/>
          <w:sz w:val="24"/>
          <w:lang w:eastAsia="zh-CN"/>
        </w:rPr>
        <w:t>问题：</w:t>
      </w:r>
      <w:r>
        <w:rPr>
          <w:rFonts w:hint="eastAsia"/>
          <w:sz w:val="24"/>
        </w:rPr>
        <w:t>从试卷各种不同题型的抽样统计分析发现,学生基本知识掌握较为牢固。学生书写大部分较为整洁，格式相对规范，反映出教师对学生书写习惯培养的重视，学生学得相对较活，解决问题的能力有很大的提高。但从答卷中也可以看出，学</w:t>
      </w:r>
      <w:r>
        <w:rPr>
          <w:rFonts w:hint="eastAsia" w:ascii="宋体" w:hAnsi="宋体" w:eastAsia="宋体" w:cs="宋体"/>
          <w:i w:val="0"/>
          <w:caps w:val="0"/>
          <w:color w:val="auto"/>
          <w:spacing w:val="0"/>
          <w:sz w:val="24"/>
          <w:szCs w:val="24"/>
          <w:shd w:val="clear" w:fill="FFFFFF"/>
          <w:lang w:val="en-US" w:eastAsia="zh-CN"/>
        </w:rPr>
        <w:t>学生读题习惯有待加强指导，审题过程的不仔细，计算能力需强化训练，解题方法单一。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ascii="宋体" w:hAnsi="宋体" w:eastAsia="宋体" w:cs="宋体"/>
          <w:i w:val="0"/>
          <w:caps w:val="0"/>
          <w:color w:val="auto"/>
          <w:spacing w:val="0"/>
          <w:sz w:val="24"/>
          <w:szCs w:val="24"/>
          <w:shd w:val="clear" w:fill="FFFFFF"/>
          <w:lang w:val="en-US" w:eastAsia="zh-CN"/>
        </w:rPr>
        <w:t>对策：</w:t>
      </w:r>
      <w:r>
        <w:rPr>
          <w:rFonts w:hint="eastAsia" w:eastAsia="宋体"/>
          <w:sz w:val="24"/>
          <w:lang w:eastAsia="zh-CN"/>
        </w:rPr>
        <w:t>首先</w:t>
      </w:r>
      <w:r>
        <w:rPr>
          <w:rFonts w:hint="eastAsia"/>
          <w:sz w:val="24"/>
        </w:rPr>
        <w:t>低年级学生加强学习习惯和主动学习能力的培养。</w:t>
      </w:r>
      <w:r>
        <w:rPr>
          <w:rFonts w:hint="eastAsia"/>
          <w:sz w:val="24"/>
          <w:lang w:eastAsia="zh-CN"/>
        </w:rPr>
        <w:t>其次</w:t>
      </w:r>
      <w:r>
        <w:rPr>
          <w:rFonts w:hint="eastAsia"/>
          <w:sz w:val="24"/>
        </w:rPr>
        <w:t>加强数学知识与现实生活的联系，注重知识形成过程与能力发展并重。</w:t>
      </w:r>
      <w:r>
        <w:rPr>
          <w:rFonts w:hint="eastAsia"/>
          <w:sz w:val="24"/>
          <w:lang w:eastAsia="zh-CN"/>
        </w:rPr>
        <w:t>然后</w:t>
      </w:r>
      <w:r>
        <w:rPr>
          <w:rFonts w:hint="eastAsia"/>
          <w:sz w:val="24"/>
        </w:rPr>
        <w:t>继续加强基础知识夯实和基本练习到位、练习多样的训练。</w:t>
      </w:r>
      <w:r>
        <w:rPr>
          <w:rFonts w:hint="eastAsia"/>
          <w:sz w:val="24"/>
          <w:lang w:eastAsia="zh-CN"/>
        </w:rPr>
        <w:t>最后</w:t>
      </w:r>
      <w:r>
        <w:rPr>
          <w:rFonts w:hint="eastAsia"/>
          <w:sz w:val="24"/>
        </w:rPr>
        <w:t>教师应多从答题错误中深层次反思学生的学习方式、思维的灵活性，联系生活、培养数学能力等方面的差距，做到既面向全体，又因才施教。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i w:val="0"/>
          <w:caps w:val="0"/>
          <w:color w:val="auto"/>
          <w:spacing w:val="0"/>
          <w:sz w:val="24"/>
          <w:szCs w:val="24"/>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EB1DB"/>
    <w:multiLevelType w:val="singleLevel"/>
    <w:tmpl w:val="492EB1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188A"/>
    <w:rsid w:val="0731188A"/>
    <w:rsid w:val="24BD3F41"/>
    <w:rsid w:val="43FA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2021-06-26T04:14:00Z</dcterms:created>
  <dc:creator>Administrator</dc:creator>
  <cp:lastModifiedBy>Administrator</cp:lastModifiedBy>
  <dcterms:modified xsi:type="dcterms:W3CDTF">2021-06-28T08:56:19Z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2E47F285F6E04A02B191F48D96F962A9</vt:lpwstr>
  </property>
</Properties>
</file>